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24291" w14:textId="77777777" w:rsidR="006368B7" w:rsidRPr="0015400F" w:rsidRDefault="006368B7" w:rsidP="0015400F">
      <w:pPr>
        <w:spacing w:line="360" w:lineRule="auto"/>
        <w:jc w:val="center"/>
        <w:rPr>
          <w:rFonts w:ascii="Book Antiqua" w:hAnsi="Book Antiqua"/>
          <w:b/>
          <w:sz w:val="22"/>
          <w:szCs w:val="22"/>
        </w:rPr>
      </w:pPr>
      <w:bookmarkStart w:id="0" w:name="_GoBack"/>
      <w:bookmarkEnd w:id="0"/>
      <w:r w:rsidRPr="0015400F">
        <w:rPr>
          <w:rFonts w:ascii="Book Antiqua" w:hAnsi="Book Antiqua"/>
          <w:b/>
          <w:sz w:val="22"/>
          <w:szCs w:val="22"/>
        </w:rPr>
        <w:t xml:space="preserve">APPEAL BY ROOMS AND STUDIOS MANAGEMENT LTD </w:t>
      </w:r>
    </w:p>
    <w:p w14:paraId="0F408201" w14:textId="77777777" w:rsidR="006368B7" w:rsidRPr="0015400F" w:rsidRDefault="006368B7" w:rsidP="0015400F">
      <w:pPr>
        <w:spacing w:line="360" w:lineRule="auto"/>
        <w:jc w:val="center"/>
        <w:rPr>
          <w:rFonts w:ascii="Book Antiqua" w:hAnsi="Book Antiqua"/>
          <w:b/>
          <w:sz w:val="22"/>
          <w:szCs w:val="22"/>
        </w:rPr>
      </w:pPr>
    </w:p>
    <w:p w14:paraId="38C82539" w14:textId="77777777" w:rsidR="006368B7" w:rsidRPr="0015400F" w:rsidRDefault="006368B7" w:rsidP="0015400F">
      <w:pPr>
        <w:spacing w:line="360" w:lineRule="auto"/>
        <w:jc w:val="center"/>
        <w:rPr>
          <w:rFonts w:ascii="Book Antiqua" w:hAnsi="Book Antiqua"/>
          <w:b/>
          <w:sz w:val="22"/>
          <w:szCs w:val="22"/>
        </w:rPr>
      </w:pPr>
      <w:r w:rsidRPr="0015400F">
        <w:rPr>
          <w:rFonts w:ascii="Book Antiqua" w:hAnsi="Book Antiqua"/>
          <w:b/>
          <w:sz w:val="22"/>
          <w:szCs w:val="22"/>
        </w:rPr>
        <w:t>PINS REF: APP/E5900/W/20/3250665</w:t>
      </w:r>
    </w:p>
    <w:p w14:paraId="7148D2C5" w14:textId="77777777" w:rsidR="006368B7" w:rsidRPr="0015400F" w:rsidRDefault="006368B7" w:rsidP="0015400F">
      <w:pPr>
        <w:spacing w:line="360" w:lineRule="auto"/>
        <w:jc w:val="both"/>
        <w:rPr>
          <w:rFonts w:ascii="Book Antiqua" w:hAnsi="Book Antiqua"/>
          <w:b/>
          <w:sz w:val="22"/>
          <w:szCs w:val="22"/>
        </w:rPr>
      </w:pPr>
    </w:p>
    <w:p w14:paraId="11CAD252" w14:textId="77777777" w:rsidR="006368B7" w:rsidRPr="0015400F" w:rsidRDefault="006368B7" w:rsidP="0015400F">
      <w:pPr>
        <w:spacing w:line="360" w:lineRule="auto"/>
        <w:jc w:val="center"/>
        <w:rPr>
          <w:rFonts w:ascii="Book Antiqua" w:hAnsi="Book Antiqua"/>
          <w:b/>
          <w:sz w:val="22"/>
          <w:szCs w:val="22"/>
        </w:rPr>
      </w:pPr>
      <w:r w:rsidRPr="0015400F">
        <w:rPr>
          <w:rFonts w:ascii="Book Antiqua" w:hAnsi="Book Antiqua"/>
          <w:b/>
          <w:sz w:val="22"/>
          <w:szCs w:val="22"/>
        </w:rPr>
        <w:t>___________________________________________</w:t>
      </w:r>
    </w:p>
    <w:p w14:paraId="2CF345EB" w14:textId="77777777" w:rsidR="006368B7" w:rsidRPr="0015400F" w:rsidRDefault="006368B7" w:rsidP="0015400F">
      <w:pPr>
        <w:spacing w:line="360" w:lineRule="auto"/>
        <w:rPr>
          <w:rFonts w:ascii="Book Antiqua" w:hAnsi="Book Antiqua"/>
          <w:b/>
          <w:sz w:val="22"/>
          <w:szCs w:val="22"/>
        </w:rPr>
      </w:pPr>
    </w:p>
    <w:p w14:paraId="0BCE0FB5" w14:textId="77777777" w:rsidR="006368B7" w:rsidRPr="0015400F" w:rsidRDefault="006368B7" w:rsidP="0015400F">
      <w:pPr>
        <w:spacing w:line="360" w:lineRule="auto"/>
        <w:jc w:val="center"/>
        <w:rPr>
          <w:rFonts w:ascii="Book Antiqua" w:hAnsi="Book Antiqua"/>
          <w:b/>
          <w:sz w:val="22"/>
          <w:szCs w:val="22"/>
        </w:rPr>
      </w:pPr>
      <w:r w:rsidRPr="0015400F">
        <w:rPr>
          <w:rFonts w:ascii="Book Antiqua" w:hAnsi="Book Antiqua"/>
          <w:b/>
          <w:sz w:val="22"/>
          <w:szCs w:val="22"/>
        </w:rPr>
        <w:t xml:space="preserve">OPENING STATEMENT FOR THE LONDON BOROUGH OF TOWER HAMLETS </w:t>
      </w:r>
    </w:p>
    <w:p w14:paraId="7B3D433B" w14:textId="77777777" w:rsidR="006368B7" w:rsidRPr="0015400F" w:rsidRDefault="006368B7" w:rsidP="0015400F">
      <w:pPr>
        <w:spacing w:line="360" w:lineRule="auto"/>
        <w:jc w:val="center"/>
        <w:rPr>
          <w:rFonts w:ascii="Book Antiqua" w:hAnsi="Book Antiqua"/>
          <w:b/>
          <w:sz w:val="22"/>
          <w:szCs w:val="22"/>
        </w:rPr>
      </w:pPr>
      <w:r w:rsidRPr="0015400F">
        <w:rPr>
          <w:rFonts w:ascii="Book Antiqua" w:hAnsi="Book Antiqua"/>
          <w:b/>
          <w:sz w:val="22"/>
          <w:szCs w:val="22"/>
        </w:rPr>
        <w:t>__________________________________________</w:t>
      </w:r>
    </w:p>
    <w:p w14:paraId="78491C46" w14:textId="77777777" w:rsidR="006368B7" w:rsidRPr="0015400F" w:rsidRDefault="006368B7" w:rsidP="0015400F">
      <w:pPr>
        <w:spacing w:line="360" w:lineRule="auto"/>
        <w:rPr>
          <w:b/>
          <w:sz w:val="22"/>
          <w:szCs w:val="22"/>
        </w:rPr>
      </w:pPr>
    </w:p>
    <w:p w14:paraId="27CEB4B9" w14:textId="77777777" w:rsidR="006368B7" w:rsidRPr="0015400F" w:rsidRDefault="006368B7" w:rsidP="0015400F">
      <w:pPr>
        <w:spacing w:line="360" w:lineRule="auto"/>
        <w:rPr>
          <w:b/>
          <w:sz w:val="22"/>
          <w:szCs w:val="22"/>
        </w:rPr>
      </w:pPr>
    </w:p>
    <w:p w14:paraId="3FF7EA75" w14:textId="77777777" w:rsidR="00370CF3" w:rsidRPr="006A74F8" w:rsidRDefault="00370CF3" w:rsidP="0015400F">
      <w:pPr>
        <w:spacing w:line="360" w:lineRule="auto"/>
        <w:rPr>
          <w:rFonts w:ascii="Book Antiqua" w:hAnsi="Book Antiqua"/>
          <w:b/>
          <w:sz w:val="22"/>
          <w:szCs w:val="22"/>
          <w:u w:val="single"/>
        </w:rPr>
      </w:pPr>
      <w:r w:rsidRPr="006A74F8">
        <w:rPr>
          <w:rFonts w:ascii="Book Antiqua" w:hAnsi="Book Antiqua"/>
          <w:b/>
          <w:sz w:val="22"/>
          <w:szCs w:val="22"/>
          <w:u w:val="single"/>
        </w:rPr>
        <w:t>Introduction</w:t>
      </w:r>
    </w:p>
    <w:p w14:paraId="4C1D7D81" w14:textId="77777777" w:rsidR="00370CF3" w:rsidRPr="00FE3690" w:rsidRDefault="00370CF3" w:rsidP="00FE3690">
      <w:pPr>
        <w:spacing w:line="360" w:lineRule="auto"/>
        <w:rPr>
          <w:rFonts w:ascii="Book Antiqua" w:hAnsi="Book Antiqua"/>
          <w:b/>
          <w:sz w:val="22"/>
          <w:szCs w:val="22"/>
        </w:rPr>
      </w:pPr>
    </w:p>
    <w:p w14:paraId="4E3AAA4F" w14:textId="4D66E64D" w:rsidR="000A5229" w:rsidRPr="002C02FB" w:rsidRDefault="002C02FB" w:rsidP="002C02FB">
      <w:pPr>
        <w:pStyle w:val="ListParagraph"/>
        <w:numPr>
          <w:ilvl w:val="0"/>
          <w:numId w:val="5"/>
        </w:numPr>
        <w:spacing w:line="360" w:lineRule="auto"/>
        <w:jc w:val="both"/>
        <w:rPr>
          <w:rFonts w:ascii="Book Antiqua" w:hAnsi="Book Antiqua"/>
          <w:b/>
          <w:sz w:val="22"/>
          <w:szCs w:val="22"/>
        </w:rPr>
      </w:pPr>
      <w:r>
        <w:rPr>
          <w:rFonts w:ascii="Book Antiqua" w:hAnsi="Book Antiqua"/>
          <w:sz w:val="22"/>
          <w:szCs w:val="22"/>
        </w:rPr>
        <w:t>Permission is sought</w:t>
      </w:r>
      <w:r>
        <w:rPr>
          <w:rStyle w:val="FootnoteReference"/>
          <w:rFonts w:ascii="Book Antiqua" w:hAnsi="Book Antiqua"/>
          <w:sz w:val="22"/>
          <w:szCs w:val="22"/>
        </w:rPr>
        <w:footnoteReference w:id="1"/>
      </w:r>
      <w:r>
        <w:rPr>
          <w:rFonts w:ascii="Book Antiqua" w:hAnsi="Book Antiqua"/>
          <w:sz w:val="22"/>
          <w:szCs w:val="22"/>
        </w:rPr>
        <w:t xml:space="preserve"> for a </w:t>
      </w:r>
      <w:r w:rsidR="000A5229" w:rsidRPr="002C02FB">
        <w:rPr>
          <w:rFonts w:ascii="Book Antiqua" w:hAnsi="Book Antiqua"/>
          <w:sz w:val="22"/>
          <w:szCs w:val="22"/>
        </w:rPr>
        <w:t xml:space="preserve">mixed use scheme </w:t>
      </w:r>
      <w:r>
        <w:rPr>
          <w:rFonts w:ascii="Book Antiqua" w:hAnsi="Book Antiqua"/>
          <w:sz w:val="22"/>
          <w:szCs w:val="22"/>
        </w:rPr>
        <w:t xml:space="preserve">which would deliver </w:t>
      </w:r>
      <w:r w:rsidR="000A5229" w:rsidRPr="002C02FB">
        <w:rPr>
          <w:rFonts w:ascii="Book Antiqua" w:hAnsi="Book Antiqua"/>
          <w:sz w:val="22"/>
          <w:szCs w:val="22"/>
        </w:rPr>
        <w:t xml:space="preserve">a substantially </w:t>
      </w:r>
      <w:r w:rsidR="00A70B31">
        <w:rPr>
          <w:rFonts w:ascii="Book Antiqua" w:hAnsi="Book Antiqua"/>
          <w:sz w:val="22"/>
          <w:szCs w:val="22"/>
        </w:rPr>
        <w:t>remodelled</w:t>
      </w:r>
      <w:r w:rsidR="00A70B31" w:rsidRPr="002C02FB">
        <w:rPr>
          <w:rFonts w:ascii="Book Antiqua" w:hAnsi="Book Antiqua"/>
          <w:sz w:val="22"/>
          <w:szCs w:val="22"/>
        </w:rPr>
        <w:t xml:space="preserve"> </w:t>
      </w:r>
      <w:r w:rsidR="000A5229" w:rsidRPr="002C02FB">
        <w:rPr>
          <w:rFonts w:ascii="Book Antiqua" w:hAnsi="Book Antiqua"/>
          <w:sz w:val="22"/>
          <w:szCs w:val="22"/>
        </w:rPr>
        <w:t>and upgraded hostel, comprising 25 private rooms with en suite bathrooms</w:t>
      </w:r>
      <w:r>
        <w:rPr>
          <w:rFonts w:ascii="Book Antiqua" w:hAnsi="Book Antiqua"/>
          <w:sz w:val="22"/>
          <w:szCs w:val="22"/>
        </w:rPr>
        <w:t xml:space="preserve"> on the lower and ground floors and </w:t>
      </w:r>
      <w:r w:rsidR="000A5229" w:rsidRPr="002C02FB">
        <w:rPr>
          <w:rFonts w:ascii="Book Antiqua" w:hAnsi="Book Antiqua"/>
          <w:sz w:val="22"/>
          <w:szCs w:val="22"/>
        </w:rPr>
        <w:t>a purpose built HMO ‘co-living’ scheme</w:t>
      </w:r>
      <w:r>
        <w:rPr>
          <w:rFonts w:ascii="Book Antiqua" w:hAnsi="Book Antiqua"/>
          <w:sz w:val="22"/>
          <w:szCs w:val="22"/>
        </w:rPr>
        <w:t xml:space="preserve"> over six floors</w:t>
      </w:r>
      <w:r w:rsidR="000A5229" w:rsidRPr="002C02FB">
        <w:rPr>
          <w:rFonts w:ascii="Book Antiqua" w:hAnsi="Book Antiqua"/>
          <w:sz w:val="22"/>
          <w:szCs w:val="22"/>
        </w:rPr>
        <w:t>, comprising 84 rooms with access to a range of facilities including a roof terrace, cinema, gym and reception</w:t>
      </w:r>
      <w:r>
        <w:rPr>
          <w:rFonts w:ascii="Book Antiqua" w:hAnsi="Book Antiqua"/>
          <w:sz w:val="22"/>
          <w:szCs w:val="22"/>
        </w:rPr>
        <w:t xml:space="preserve"> (“</w:t>
      </w:r>
      <w:r w:rsidRPr="002C02FB">
        <w:rPr>
          <w:rFonts w:ascii="Book Antiqua" w:hAnsi="Book Antiqua"/>
          <w:sz w:val="22"/>
          <w:szCs w:val="22"/>
        </w:rPr>
        <w:t>appeal scheme</w:t>
      </w:r>
      <w:r>
        <w:rPr>
          <w:rFonts w:ascii="Book Antiqua" w:hAnsi="Book Antiqua"/>
          <w:sz w:val="22"/>
          <w:szCs w:val="22"/>
        </w:rPr>
        <w:t>”)</w:t>
      </w:r>
      <w:r w:rsidR="000A5229" w:rsidRPr="002C02FB">
        <w:rPr>
          <w:rFonts w:ascii="Book Antiqua" w:hAnsi="Book Antiqua"/>
          <w:sz w:val="22"/>
          <w:szCs w:val="22"/>
        </w:rPr>
        <w:t xml:space="preserve">. </w:t>
      </w:r>
      <w:r w:rsidRPr="0015400F">
        <w:rPr>
          <w:rFonts w:ascii="Book Antiqua" w:hAnsi="Book Antiqua"/>
          <w:sz w:val="22"/>
          <w:szCs w:val="22"/>
        </w:rPr>
        <w:t>The scheme w</w:t>
      </w:r>
      <w:r w:rsidR="006A74F8">
        <w:rPr>
          <w:rFonts w:ascii="Book Antiqua" w:hAnsi="Book Antiqua"/>
          <w:sz w:val="22"/>
          <w:szCs w:val="22"/>
        </w:rPr>
        <w:t>ould</w:t>
      </w:r>
      <w:r w:rsidRPr="0015400F">
        <w:rPr>
          <w:rFonts w:ascii="Book Antiqua" w:hAnsi="Book Antiqua"/>
          <w:sz w:val="22"/>
          <w:szCs w:val="22"/>
        </w:rPr>
        <w:t xml:space="preserve"> be under single management</w:t>
      </w:r>
      <w:r w:rsidR="006A74F8">
        <w:rPr>
          <w:rFonts w:ascii="Book Antiqua" w:hAnsi="Book Antiqua"/>
          <w:sz w:val="22"/>
          <w:szCs w:val="22"/>
        </w:rPr>
        <w:t xml:space="preserve"> with short stay visitors and longer term occupants</w:t>
      </w:r>
      <w:r w:rsidR="006A74F8">
        <w:rPr>
          <w:rStyle w:val="FootnoteReference"/>
          <w:rFonts w:ascii="Book Antiqua" w:hAnsi="Book Antiqua"/>
          <w:sz w:val="22"/>
          <w:szCs w:val="22"/>
        </w:rPr>
        <w:footnoteReference w:id="2"/>
      </w:r>
      <w:r w:rsidR="006A74F8">
        <w:rPr>
          <w:rFonts w:ascii="Book Antiqua" w:hAnsi="Book Antiqua"/>
          <w:sz w:val="22"/>
          <w:szCs w:val="22"/>
        </w:rPr>
        <w:t xml:space="preserve"> in the HMO enjoying broadly the same level of amenity.</w:t>
      </w:r>
      <w:r w:rsidR="00A52CB7">
        <w:rPr>
          <w:rStyle w:val="FootnoteReference"/>
          <w:rFonts w:ascii="Book Antiqua" w:hAnsi="Book Antiqua"/>
          <w:sz w:val="22"/>
          <w:szCs w:val="22"/>
        </w:rPr>
        <w:footnoteReference w:id="3"/>
      </w:r>
      <w:r w:rsidR="006A74F8">
        <w:rPr>
          <w:rFonts w:ascii="Book Antiqua" w:hAnsi="Book Antiqua"/>
          <w:sz w:val="22"/>
          <w:szCs w:val="22"/>
        </w:rPr>
        <w:t xml:space="preserve"> </w:t>
      </w:r>
      <w:r w:rsidR="000A5229" w:rsidRPr="002C02FB">
        <w:rPr>
          <w:rFonts w:ascii="Book Antiqua" w:hAnsi="Book Antiqua"/>
          <w:sz w:val="22"/>
          <w:szCs w:val="22"/>
        </w:rPr>
        <w:t>The Appellant’s scheme promises “</w:t>
      </w:r>
      <w:r w:rsidR="00A52CB7">
        <w:rPr>
          <w:rFonts w:ascii="Book Antiqua" w:hAnsi="Book Antiqua"/>
          <w:sz w:val="22"/>
          <w:szCs w:val="22"/>
        </w:rPr>
        <w:t>high quality excellent services</w:t>
      </w:r>
      <w:r w:rsidR="000A5229" w:rsidRPr="002C02FB">
        <w:rPr>
          <w:rFonts w:ascii="Book Antiqua" w:hAnsi="Book Antiqua"/>
          <w:sz w:val="22"/>
          <w:szCs w:val="22"/>
        </w:rPr>
        <w:t>” and an “awesome experience”</w:t>
      </w:r>
      <w:r w:rsidRPr="002C02FB">
        <w:rPr>
          <w:rStyle w:val="FootnoteReference"/>
          <w:rFonts w:ascii="Book Antiqua" w:hAnsi="Book Antiqua"/>
          <w:sz w:val="22"/>
          <w:szCs w:val="22"/>
        </w:rPr>
        <w:t xml:space="preserve"> </w:t>
      </w:r>
      <w:r w:rsidRPr="0015400F">
        <w:rPr>
          <w:rStyle w:val="FootnoteReference"/>
          <w:rFonts w:ascii="Book Antiqua" w:hAnsi="Book Antiqua"/>
          <w:sz w:val="22"/>
          <w:szCs w:val="22"/>
        </w:rPr>
        <w:footnoteReference w:id="4"/>
      </w:r>
      <w:r w:rsidR="000A5229" w:rsidRPr="002C02FB">
        <w:rPr>
          <w:rFonts w:ascii="Book Antiqua" w:hAnsi="Book Antiqua"/>
          <w:sz w:val="22"/>
          <w:szCs w:val="22"/>
        </w:rPr>
        <w:t>. Located</w:t>
      </w:r>
      <w:r w:rsidRPr="002C02FB">
        <w:rPr>
          <w:rFonts w:ascii="Book Antiqua" w:hAnsi="Book Antiqua"/>
          <w:sz w:val="22"/>
          <w:szCs w:val="22"/>
        </w:rPr>
        <w:t xml:space="preserve"> </w:t>
      </w:r>
      <w:r w:rsidR="000A5229" w:rsidRPr="002C02FB">
        <w:rPr>
          <w:rFonts w:ascii="Book Antiqua" w:hAnsi="Book Antiqua"/>
          <w:sz w:val="22"/>
          <w:szCs w:val="22"/>
        </w:rPr>
        <w:t>with</w:t>
      </w:r>
      <w:r w:rsidRPr="002C02FB">
        <w:rPr>
          <w:rFonts w:ascii="Book Antiqua" w:hAnsi="Book Antiqua"/>
          <w:sz w:val="22"/>
          <w:szCs w:val="22"/>
        </w:rPr>
        <w:t>in</w:t>
      </w:r>
      <w:r w:rsidR="000A5229" w:rsidRPr="002C02FB">
        <w:rPr>
          <w:rFonts w:ascii="Book Antiqua" w:hAnsi="Book Antiqua"/>
          <w:sz w:val="22"/>
          <w:szCs w:val="22"/>
        </w:rPr>
        <w:t xml:space="preserve"> easy access </w:t>
      </w:r>
      <w:r w:rsidRPr="002C02FB">
        <w:rPr>
          <w:rFonts w:ascii="Book Antiqua" w:hAnsi="Book Antiqua"/>
          <w:sz w:val="22"/>
          <w:szCs w:val="22"/>
        </w:rPr>
        <w:t>of</w:t>
      </w:r>
      <w:r w:rsidR="000A5229" w:rsidRPr="002C02FB">
        <w:rPr>
          <w:rFonts w:ascii="Book Antiqua" w:hAnsi="Book Antiqua"/>
          <w:sz w:val="22"/>
          <w:szCs w:val="22"/>
        </w:rPr>
        <w:t xml:space="preserve"> Canary Wharf and the City of London, the scheme, which will be </w:t>
      </w:r>
      <w:r w:rsidRPr="002C02FB">
        <w:rPr>
          <w:rFonts w:ascii="Book Antiqua" w:hAnsi="Book Antiqua"/>
          <w:sz w:val="22"/>
          <w:szCs w:val="22"/>
        </w:rPr>
        <w:t>“</w:t>
      </w:r>
      <w:r w:rsidR="000A5229" w:rsidRPr="002C02FB">
        <w:rPr>
          <w:rFonts w:ascii="Book Antiqua" w:hAnsi="Book Antiqua"/>
          <w:sz w:val="22"/>
          <w:szCs w:val="22"/>
        </w:rPr>
        <w:t>mainly single occupancy</w:t>
      </w:r>
      <w:r w:rsidRPr="002C02FB">
        <w:rPr>
          <w:rFonts w:ascii="Book Antiqua" w:hAnsi="Book Antiqua"/>
          <w:sz w:val="22"/>
          <w:szCs w:val="22"/>
        </w:rPr>
        <w:t>”</w:t>
      </w:r>
      <w:r>
        <w:rPr>
          <w:rStyle w:val="FootnoteReference"/>
          <w:rFonts w:ascii="Book Antiqua" w:hAnsi="Book Antiqua"/>
          <w:sz w:val="22"/>
          <w:szCs w:val="22"/>
        </w:rPr>
        <w:footnoteReference w:id="5"/>
      </w:r>
      <w:r w:rsidR="000A5229" w:rsidRPr="002C02FB">
        <w:rPr>
          <w:rFonts w:ascii="Book Antiqua" w:hAnsi="Book Antiqua"/>
          <w:sz w:val="22"/>
          <w:szCs w:val="22"/>
        </w:rPr>
        <w:t xml:space="preserve">, is marketed at </w:t>
      </w:r>
      <w:r w:rsidRPr="002C02FB">
        <w:rPr>
          <w:rFonts w:ascii="Book Antiqua" w:hAnsi="Book Antiqua"/>
          <w:sz w:val="22"/>
          <w:szCs w:val="22"/>
        </w:rPr>
        <w:t xml:space="preserve">‘sharers’ particularly </w:t>
      </w:r>
      <w:r w:rsidR="000A5229" w:rsidRPr="002C02FB">
        <w:rPr>
          <w:rFonts w:ascii="Book Antiqua" w:hAnsi="Book Antiqua"/>
          <w:sz w:val="22"/>
          <w:szCs w:val="22"/>
        </w:rPr>
        <w:t>single young professionals</w:t>
      </w:r>
      <w:r w:rsidRPr="002C02FB">
        <w:rPr>
          <w:rFonts w:ascii="Book Antiqua" w:hAnsi="Book Antiqua"/>
          <w:sz w:val="22"/>
          <w:szCs w:val="22"/>
        </w:rPr>
        <w:t xml:space="preserve"> wishing to access employment opportunities in these locations </w:t>
      </w:r>
      <w:r w:rsidR="000F734F">
        <w:rPr>
          <w:rFonts w:ascii="Book Antiqua" w:hAnsi="Book Antiqua"/>
          <w:sz w:val="22"/>
          <w:szCs w:val="22"/>
        </w:rPr>
        <w:t xml:space="preserve">and </w:t>
      </w:r>
      <w:r w:rsidRPr="002C02FB">
        <w:rPr>
          <w:rFonts w:ascii="Book Antiqua" w:hAnsi="Book Antiqua"/>
          <w:sz w:val="22"/>
          <w:szCs w:val="22"/>
        </w:rPr>
        <w:t xml:space="preserve">who can afford (at least) rents of £12,000 </w:t>
      </w:r>
      <w:r w:rsidR="00B5317E">
        <w:rPr>
          <w:rFonts w:ascii="Book Antiqua" w:hAnsi="Book Antiqua"/>
          <w:sz w:val="22"/>
          <w:szCs w:val="22"/>
        </w:rPr>
        <w:t xml:space="preserve">p.a. </w:t>
      </w:r>
      <w:r w:rsidRPr="002C02FB">
        <w:rPr>
          <w:rFonts w:ascii="Book Antiqua" w:hAnsi="Book Antiqua"/>
          <w:sz w:val="22"/>
          <w:szCs w:val="22"/>
        </w:rPr>
        <w:t xml:space="preserve">for a single room </w:t>
      </w:r>
      <w:r w:rsidR="00B5317E">
        <w:rPr>
          <w:rFonts w:ascii="Book Antiqua" w:hAnsi="Book Antiqua"/>
          <w:sz w:val="22"/>
          <w:szCs w:val="22"/>
        </w:rPr>
        <w:t>in the HMO</w:t>
      </w:r>
      <w:r w:rsidRPr="002C02FB">
        <w:rPr>
          <w:rFonts w:ascii="Book Antiqua" w:hAnsi="Book Antiqua"/>
          <w:sz w:val="22"/>
          <w:szCs w:val="22"/>
        </w:rPr>
        <w:t>.</w:t>
      </w:r>
      <w:r w:rsidR="00E416D3">
        <w:rPr>
          <w:rStyle w:val="FootnoteReference"/>
          <w:rFonts w:ascii="Book Antiqua" w:hAnsi="Book Antiqua"/>
          <w:sz w:val="22"/>
          <w:szCs w:val="22"/>
        </w:rPr>
        <w:footnoteReference w:id="6"/>
      </w:r>
    </w:p>
    <w:p w14:paraId="3BA474F0" w14:textId="77777777" w:rsidR="000A5229" w:rsidRPr="0015400F" w:rsidRDefault="000A5229" w:rsidP="0015400F">
      <w:pPr>
        <w:pStyle w:val="ListParagraph"/>
        <w:spacing w:line="360" w:lineRule="auto"/>
        <w:rPr>
          <w:rFonts w:ascii="Book Antiqua" w:hAnsi="Book Antiqua"/>
          <w:sz w:val="22"/>
          <w:szCs w:val="22"/>
        </w:rPr>
      </w:pPr>
    </w:p>
    <w:p w14:paraId="06B8229A" w14:textId="7F07B246" w:rsidR="002C02FB" w:rsidRPr="002C02FB" w:rsidRDefault="002C02FB" w:rsidP="002C02FB">
      <w:pPr>
        <w:pStyle w:val="ListParagraph"/>
        <w:numPr>
          <w:ilvl w:val="0"/>
          <w:numId w:val="5"/>
        </w:numPr>
        <w:spacing w:line="360" w:lineRule="auto"/>
        <w:jc w:val="both"/>
        <w:rPr>
          <w:rFonts w:ascii="Book Antiqua" w:hAnsi="Book Antiqua"/>
          <w:b/>
          <w:sz w:val="22"/>
          <w:szCs w:val="22"/>
        </w:rPr>
      </w:pPr>
      <w:r w:rsidRPr="0015400F">
        <w:rPr>
          <w:rFonts w:ascii="Book Antiqua" w:hAnsi="Book Antiqua"/>
          <w:sz w:val="22"/>
          <w:szCs w:val="22"/>
        </w:rPr>
        <w:t>The</w:t>
      </w:r>
      <w:r>
        <w:rPr>
          <w:rFonts w:ascii="Book Antiqua" w:hAnsi="Book Antiqua"/>
          <w:sz w:val="22"/>
          <w:szCs w:val="22"/>
        </w:rPr>
        <w:t xml:space="preserve"> LPA raises no</w:t>
      </w:r>
      <w:r w:rsidRPr="0015400F">
        <w:rPr>
          <w:rFonts w:ascii="Book Antiqua" w:hAnsi="Book Antiqua"/>
          <w:sz w:val="22"/>
          <w:szCs w:val="22"/>
        </w:rPr>
        <w:t xml:space="preserve">, in principle, objection to the </w:t>
      </w:r>
      <w:r>
        <w:rPr>
          <w:rFonts w:ascii="Book Antiqua" w:hAnsi="Book Antiqua"/>
          <w:sz w:val="22"/>
          <w:szCs w:val="22"/>
        </w:rPr>
        <w:t xml:space="preserve">new </w:t>
      </w:r>
      <w:r w:rsidRPr="0015400F">
        <w:rPr>
          <w:rFonts w:ascii="Book Antiqua" w:hAnsi="Book Antiqua"/>
          <w:sz w:val="22"/>
          <w:szCs w:val="22"/>
        </w:rPr>
        <w:t>hostel which replaces the existing hostel</w:t>
      </w:r>
      <w:r w:rsidR="000F734F">
        <w:rPr>
          <w:rFonts w:ascii="Book Antiqua" w:hAnsi="Book Antiqua"/>
          <w:sz w:val="22"/>
          <w:szCs w:val="22"/>
        </w:rPr>
        <w:t xml:space="preserve">. </w:t>
      </w:r>
    </w:p>
    <w:p w14:paraId="61141BA6" w14:textId="77777777" w:rsidR="002C02FB" w:rsidRPr="002C02FB" w:rsidRDefault="002C02FB" w:rsidP="002C02FB">
      <w:pPr>
        <w:pStyle w:val="ListParagraph"/>
        <w:rPr>
          <w:rFonts w:ascii="Book Antiqua" w:hAnsi="Book Antiqua"/>
          <w:sz w:val="22"/>
          <w:szCs w:val="22"/>
        </w:rPr>
      </w:pPr>
    </w:p>
    <w:p w14:paraId="024599BB" w14:textId="77777777" w:rsidR="00370CF3" w:rsidRPr="0015400F" w:rsidRDefault="00370CF3" w:rsidP="0015400F">
      <w:pPr>
        <w:pStyle w:val="ListParagraph"/>
        <w:spacing w:line="360" w:lineRule="auto"/>
        <w:rPr>
          <w:rFonts w:ascii="Book Antiqua" w:hAnsi="Book Antiqua"/>
          <w:b/>
          <w:sz w:val="22"/>
          <w:szCs w:val="22"/>
        </w:rPr>
      </w:pPr>
    </w:p>
    <w:p w14:paraId="5E8C938C" w14:textId="77777777" w:rsidR="00DD28C8" w:rsidRPr="0015400F" w:rsidRDefault="00DD28C8" w:rsidP="0015400F">
      <w:pPr>
        <w:pStyle w:val="ListParagraph"/>
        <w:spacing w:line="360" w:lineRule="auto"/>
        <w:rPr>
          <w:rFonts w:ascii="Book Antiqua" w:hAnsi="Book Antiqua"/>
          <w:sz w:val="22"/>
          <w:szCs w:val="22"/>
        </w:rPr>
      </w:pPr>
    </w:p>
    <w:p w14:paraId="1E6A6898" w14:textId="05B95DFB" w:rsidR="002B7D6A" w:rsidRPr="00B5317E" w:rsidRDefault="002B7D6A" w:rsidP="002B7D6A">
      <w:pPr>
        <w:pStyle w:val="ListParagraph"/>
        <w:numPr>
          <w:ilvl w:val="0"/>
          <w:numId w:val="5"/>
        </w:numPr>
        <w:spacing w:line="360" w:lineRule="auto"/>
        <w:jc w:val="both"/>
        <w:rPr>
          <w:rFonts w:ascii="Book Antiqua" w:hAnsi="Book Antiqua"/>
          <w:b/>
          <w:sz w:val="22"/>
          <w:szCs w:val="22"/>
        </w:rPr>
      </w:pPr>
      <w:r w:rsidRPr="0015400F">
        <w:rPr>
          <w:rFonts w:ascii="Book Antiqua" w:hAnsi="Book Antiqua"/>
          <w:sz w:val="22"/>
          <w:szCs w:val="22"/>
        </w:rPr>
        <w:t>‘Co-living’</w:t>
      </w:r>
      <w:r>
        <w:rPr>
          <w:rFonts w:ascii="Book Antiqua" w:hAnsi="Book Antiqua"/>
          <w:sz w:val="22"/>
          <w:szCs w:val="22"/>
        </w:rPr>
        <w:t xml:space="preserve"> </w:t>
      </w:r>
      <w:r w:rsidRPr="0015400F">
        <w:rPr>
          <w:rFonts w:ascii="Book Antiqua" w:hAnsi="Book Antiqua"/>
          <w:sz w:val="22"/>
          <w:szCs w:val="22"/>
        </w:rPr>
        <w:t>is a relatively novel type of accommodation</w:t>
      </w:r>
      <w:r>
        <w:rPr>
          <w:rFonts w:ascii="Book Antiqua" w:hAnsi="Book Antiqua"/>
          <w:sz w:val="22"/>
          <w:szCs w:val="22"/>
        </w:rPr>
        <w:t xml:space="preserve"> which is different from traditional HMOs in terms of its size</w:t>
      </w:r>
      <w:r w:rsidR="000F734F">
        <w:rPr>
          <w:rFonts w:ascii="Book Antiqua" w:hAnsi="Book Antiqua"/>
          <w:sz w:val="22"/>
          <w:szCs w:val="22"/>
        </w:rPr>
        <w:t xml:space="preserve"> and </w:t>
      </w:r>
      <w:r>
        <w:rPr>
          <w:rFonts w:ascii="Book Antiqua" w:hAnsi="Book Antiqua"/>
          <w:sz w:val="22"/>
          <w:szCs w:val="22"/>
        </w:rPr>
        <w:t xml:space="preserve">the amenities offered. </w:t>
      </w:r>
      <w:r w:rsidRPr="0015400F">
        <w:rPr>
          <w:rFonts w:ascii="Book Antiqua" w:hAnsi="Book Antiqua"/>
          <w:sz w:val="22"/>
          <w:szCs w:val="22"/>
        </w:rPr>
        <w:t>The Appellant presents</w:t>
      </w:r>
      <w:r>
        <w:rPr>
          <w:rFonts w:ascii="Book Antiqua" w:hAnsi="Book Antiqua"/>
          <w:sz w:val="22"/>
          <w:szCs w:val="22"/>
        </w:rPr>
        <w:t xml:space="preserve"> its scheme as an alternative form of accommodation</w:t>
      </w:r>
      <w:r w:rsidR="00DF0F40">
        <w:rPr>
          <w:rStyle w:val="FootnoteReference"/>
          <w:rFonts w:ascii="Book Antiqua" w:hAnsi="Book Antiqua"/>
          <w:sz w:val="22"/>
          <w:szCs w:val="22"/>
        </w:rPr>
        <w:footnoteReference w:id="7"/>
      </w:r>
      <w:r>
        <w:rPr>
          <w:rFonts w:ascii="Book Antiqua" w:hAnsi="Book Antiqua"/>
          <w:sz w:val="22"/>
          <w:szCs w:val="22"/>
        </w:rPr>
        <w:t xml:space="preserve"> to </w:t>
      </w:r>
      <w:r w:rsidRPr="0015400F">
        <w:rPr>
          <w:rFonts w:ascii="Book Antiqua" w:hAnsi="Book Antiqua"/>
          <w:sz w:val="22"/>
          <w:szCs w:val="22"/>
        </w:rPr>
        <w:t>a studio or 1 bedroom flat</w:t>
      </w:r>
      <w:r>
        <w:rPr>
          <w:rFonts w:ascii="Book Antiqua" w:hAnsi="Book Antiqua"/>
          <w:sz w:val="22"/>
          <w:szCs w:val="22"/>
        </w:rPr>
        <w:t xml:space="preserve"> where the amenities, services and sense of community offered are a part of the draw. </w:t>
      </w:r>
    </w:p>
    <w:p w14:paraId="66E43B24" w14:textId="77777777" w:rsidR="00B5317E" w:rsidRPr="00B5317E" w:rsidRDefault="00B5317E" w:rsidP="00B5317E">
      <w:pPr>
        <w:pStyle w:val="ListParagraph"/>
        <w:spacing w:line="360" w:lineRule="auto"/>
        <w:jc w:val="both"/>
        <w:rPr>
          <w:rFonts w:ascii="Book Antiqua" w:hAnsi="Book Antiqua"/>
          <w:b/>
          <w:sz w:val="22"/>
          <w:szCs w:val="22"/>
        </w:rPr>
      </w:pPr>
    </w:p>
    <w:p w14:paraId="25D1458C" w14:textId="7C2088CF" w:rsidR="00B5317E" w:rsidRPr="00A2405E" w:rsidRDefault="00B5317E" w:rsidP="00B5317E">
      <w:pPr>
        <w:pStyle w:val="ListParagraph"/>
        <w:numPr>
          <w:ilvl w:val="0"/>
          <w:numId w:val="5"/>
        </w:numPr>
        <w:spacing w:line="360" w:lineRule="auto"/>
        <w:jc w:val="both"/>
        <w:rPr>
          <w:rFonts w:ascii="Book Antiqua" w:hAnsi="Book Antiqua"/>
          <w:b/>
          <w:sz w:val="22"/>
          <w:szCs w:val="22"/>
        </w:rPr>
      </w:pPr>
      <w:r>
        <w:rPr>
          <w:rFonts w:ascii="Book Antiqua" w:hAnsi="Book Antiqua"/>
          <w:sz w:val="22"/>
          <w:szCs w:val="22"/>
        </w:rPr>
        <w:t>The main issues in this appeal are:</w:t>
      </w:r>
    </w:p>
    <w:p w14:paraId="71B5CDB3" w14:textId="77777777" w:rsidR="00A2405E" w:rsidRPr="00A2405E" w:rsidRDefault="00A2405E" w:rsidP="00DF0F40">
      <w:pPr>
        <w:pStyle w:val="ListParagraph"/>
        <w:ind w:left="1440"/>
        <w:rPr>
          <w:rFonts w:ascii="Book Antiqua" w:hAnsi="Book Antiqua"/>
          <w:b/>
          <w:sz w:val="22"/>
          <w:szCs w:val="22"/>
        </w:rPr>
      </w:pPr>
    </w:p>
    <w:p w14:paraId="072D58D6" w14:textId="0F56F365" w:rsidR="00A2405E" w:rsidRPr="00DF0F40" w:rsidRDefault="00A2405E" w:rsidP="00DF0F40">
      <w:pPr>
        <w:spacing w:line="360" w:lineRule="auto"/>
        <w:ind w:firstLine="720"/>
        <w:jc w:val="both"/>
        <w:rPr>
          <w:rFonts w:ascii="Book Antiqua" w:hAnsi="Book Antiqua"/>
          <w:i/>
          <w:sz w:val="22"/>
          <w:szCs w:val="22"/>
        </w:rPr>
      </w:pPr>
      <w:r w:rsidRPr="00DF0F40">
        <w:rPr>
          <w:rFonts w:ascii="Book Antiqua" w:hAnsi="Book Antiqua"/>
          <w:i/>
          <w:sz w:val="22"/>
          <w:szCs w:val="22"/>
        </w:rPr>
        <w:t>Reason for refusal 1</w:t>
      </w:r>
    </w:p>
    <w:p w14:paraId="6865E193" w14:textId="77777777" w:rsidR="00B5317E" w:rsidRPr="00B5317E" w:rsidRDefault="00B5317E" w:rsidP="00DF0F40">
      <w:pPr>
        <w:pStyle w:val="ListParagraph"/>
        <w:ind w:left="1440"/>
        <w:rPr>
          <w:rFonts w:ascii="Book Antiqua" w:hAnsi="Book Antiqua"/>
          <w:b/>
          <w:sz w:val="22"/>
          <w:szCs w:val="22"/>
        </w:rPr>
      </w:pPr>
    </w:p>
    <w:p w14:paraId="5606432C" w14:textId="4220E2C8" w:rsidR="000F104C" w:rsidRPr="00B5317E" w:rsidRDefault="00B5317E" w:rsidP="00DF0F40">
      <w:pPr>
        <w:pStyle w:val="ListParagraph"/>
        <w:numPr>
          <w:ilvl w:val="0"/>
          <w:numId w:val="18"/>
        </w:numPr>
        <w:spacing w:line="360" w:lineRule="auto"/>
        <w:ind w:left="1800"/>
        <w:jc w:val="both"/>
        <w:rPr>
          <w:rFonts w:ascii="Book Antiqua" w:hAnsi="Book Antiqua"/>
          <w:b/>
          <w:sz w:val="22"/>
          <w:szCs w:val="22"/>
        </w:rPr>
      </w:pPr>
      <w:r w:rsidRPr="00B5317E">
        <w:rPr>
          <w:rFonts w:ascii="Book Antiqua" w:hAnsi="Book Antiqua"/>
          <w:sz w:val="22"/>
          <w:szCs w:val="22"/>
        </w:rPr>
        <w:t>Whether this type of scheme is</w:t>
      </w:r>
      <w:r>
        <w:rPr>
          <w:rFonts w:ascii="Book Antiqua" w:hAnsi="Book Antiqua"/>
          <w:sz w:val="22"/>
          <w:szCs w:val="22"/>
        </w:rPr>
        <w:t xml:space="preserve"> needed in this location?;</w:t>
      </w:r>
    </w:p>
    <w:p w14:paraId="02A8F32B" w14:textId="77777777" w:rsidR="00B5317E" w:rsidRPr="00B5317E" w:rsidRDefault="00B5317E" w:rsidP="00DF0F40">
      <w:pPr>
        <w:pStyle w:val="ListParagraph"/>
        <w:spacing w:line="360" w:lineRule="auto"/>
        <w:ind w:left="1800"/>
        <w:jc w:val="both"/>
        <w:rPr>
          <w:rFonts w:ascii="Book Antiqua" w:hAnsi="Book Antiqua"/>
          <w:b/>
          <w:sz w:val="22"/>
          <w:szCs w:val="22"/>
        </w:rPr>
      </w:pPr>
    </w:p>
    <w:p w14:paraId="54622AA6" w14:textId="783C0F49" w:rsidR="00B5317E" w:rsidRDefault="00B5317E" w:rsidP="00DF0F40">
      <w:pPr>
        <w:pStyle w:val="ListParagraph"/>
        <w:numPr>
          <w:ilvl w:val="0"/>
          <w:numId w:val="18"/>
        </w:numPr>
        <w:spacing w:line="360" w:lineRule="auto"/>
        <w:ind w:left="1800"/>
        <w:jc w:val="both"/>
        <w:rPr>
          <w:rFonts w:ascii="Book Antiqua" w:hAnsi="Book Antiqua"/>
          <w:sz w:val="22"/>
          <w:szCs w:val="22"/>
        </w:rPr>
      </w:pPr>
      <w:r w:rsidRPr="00B5317E">
        <w:rPr>
          <w:rFonts w:ascii="Book Antiqua" w:hAnsi="Book Antiqua"/>
          <w:sz w:val="22"/>
          <w:szCs w:val="22"/>
        </w:rPr>
        <w:t>And</w:t>
      </w:r>
      <w:r>
        <w:rPr>
          <w:rFonts w:ascii="Book Antiqua" w:hAnsi="Book Antiqua"/>
          <w:sz w:val="22"/>
          <w:szCs w:val="22"/>
        </w:rPr>
        <w:t>, even if it is</w:t>
      </w:r>
      <w:r w:rsidR="002B7D6A">
        <w:rPr>
          <w:rFonts w:ascii="Book Antiqua" w:hAnsi="Book Antiqua"/>
          <w:sz w:val="22"/>
          <w:szCs w:val="22"/>
        </w:rPr>
        <w:t xml:space="preserve"> needed</w:t>
      </w:r>
      <w:r>
        <w:rPr>
          <w:rFonts w:ascii="Book Antiqua" w:hAnsi="Book Antiqua"/>
          <w:sz w:val="22"/>
          <w:szCs w:val="22"/>
        </w:rPr>
        <w:t xml:space="preserve">, whether the appeal scheme provides a policy compliant contribution to affordable housing? </w:t>
      </w:r>
    </w:p>
    <w:p w14:paraId="550B0A61" w14:textId="77777777" w:rsidR="00B5317E" w:rsidRPr="00B5317E" w:rsidRDefault="00B5317E" w:rsidP="00DF0F40">
      <w:pPr>
        <w:pStyle w:val="ListParagraph"/>
        <w:ind w:left="1440"/>
        <w:rPr>
          <w:rFonts w:ascii="Book Antiqua" w:hAnsi="Book Antiqua"/>
          <w:sz w:val="22"/>
          <w:szCs w:val="22"/>
        </w:rPr>
      </w:pPr>
    </w:p>
    <w:p w14:paraId="36E94E3D" w14:textId="6CB2A97F" w:rsidR="00B5317E" w:rsidRPr="000F734F" w:rsidRDefault="00B5317E" w:rsidP="000F734F">
      <w:pPr>
        <w:spacing w:line="360" w:lineRule="auto"/>
        <w:ind w:left="720"/>
        <w:jc w:val="both"/>
        <w:rPr>
          <w:rFonts w:ascii="Book Antiqua" w:hAnsi="Book Antiqua"/>
          <w:sz w:val="22"/>
          <w:szCs w:val="22"/>
        </w:rPr>
      </w:pPr>
      <w:r w:rsidRPr="000F734F">
        <w:rPr>
          <w:rFonts w:ascii="Book Antiqua" w:hAnsi="Book Antiqua"/>
          <w:sz w:val="22"/>
          <w:szCs w:val="22"/>
        </w:rPr>
        <w:t xml:space="preserve">The Appellant is required to show both that </w:t>
      </w:r>
      <w:r w:rsidR="00E416D3" w:rsidRPr="000F734F">
        <w:rPr>
          <w:rFonts w:ascii="Book Antiqua" w:hAnsi="Book Antiqua"/>
          <w:sz w:val="22"/>
          <w:szCs w:val="22"/>
        </w:rPr>
        <w:t>the scheme</w:t>
      </w:r>
      <w:r w:rsidRPr="000F734F">
        <w:rPr>
          <w:rFonts w:ascii="Book Antiqua" w:hAnsi="Book Antiqua"/>
          <w:sz w:val="22"/>
          <w:szCs w:val="22"/>
        </w:rPr>
        <w:t xml:space="preserve"> is needed and that it satisfies affordable housing requirements, otherwise it should be refused.</w:t>
      </w:r>
    </w:p>
    <w:p w14:paraId="310608C2" w14:textId="4F8ADA16" w:rsidR="00A2405E" w:rsidRDefault="00A2405E" w:rsidP="00DF0F40">
      <w:pPr>
        <w:pStyle w:val="ListParagraph"/>
        <w:spacing w:line="360" w:lineRule="auto"/>
        <w:ind w:left="1800"/>
        <w:jc w:val="both"/>
        <w:rPr>
          <w:rFonts w:ascii="Book Antiqua" w:hAnsi="Book Antiqua"/>
          <w:i/>
          <w:sz w:val="22"/>
          <w:szCs w:val="22"/>
        </w:rPr>
      </w:pPr>
    </w:p>
    <w:p w14:paraId="1CDD4F24" w14:textId="7B7602F8" w:rsidR="00A2405E" w:rsidRDefault="00A2405E" w:rsidP="00DF0F40">
      <w:pPr>
        <w:spacing w:line="360" w:lineRule="auto"/>
        <w:ind w:left="720"/>
        <w:jc w:val="both"/>
        <w:rPr>
          <w:rFonts w:ascii="Book Antiqua" w:hAnsi="Book Antiqua"/>
          <w:i/>
          <w:sz w:val="22"/>
          <w:szCs w:val="22"/>
        </w:rPr>
      </w:pPr>
      <w:r>
        <w:rPr>
          <w:rFonts w:ascii="Book Antiqua" w:hAnsi="Book Antiqua"/>
          <w:i/>
          <w:sz w:val="22"/>
          <w:szCs w:val="22"/>
        </w:rPr>
        <w:t>Reason for refusal 2</w:t>
      </w:r>
    </w:p>
    <w:p w14:paraId="518697E5" w14:textId="77777777" w:rsidR="00A2405E" w:rsidRPr="00A2405E" w:rsidRDefault="00A2405E" w:rsidP="00DF0F40">
      <w:pPr>
        <w:spacing w:line="360" w:lineRule="auto"/>
        <w:ind w:left="720"/>
        <w:jc w:val="both"/>
        <w:rPr>
          <w:rFonts w:ascii="Book Antiqua" w:hAnsi="Book Antiqua"/>
          <w:i/>
          <w:sz w:val="22"/>
          <w:szCs w:val="22"/>
        </w:rPr>
      </w:pPr>
    </w:p>
    <w:p w14:paraId="73811132" w14:textId="3295D51C" w:rsidR="00CA6935" w:rsidRPr="00A2405E" w:rsidRDefault="00B5317E" w:rsidP="00DF0F40">
      <w:pPr>
        <w:pStyle w:val="ListParagraph"/>
        <w:numPr>
          <w:ilvl w:val="0"/>
          <w:numId w:val="18"/>
        </w:numPr>
        <w:spacing w:line="360" w:lineRule="auto"/>
        <w:ind w:left="1800"/>
        <w:jc w:val="both"/>
        <w:rPr>
          <w:rFonts w:ascii="Book Antiqua" w:hAnsi="Book Antiqua"/>
          <w:sz w:val="22"/>
          <w:szCs w:val="22"/>
        </w:rPr>
      </w:pPr>
      <w:r>
        <w:rPr>
          <w:rFonts w:ascii="Book Antiqua" w:hAnsi="Book Antiqua"/>
          <w:sz w:val="22"/>
          <w:szCs w:val="22"/>
        </w:rPr>
        <w:t xml:space="preserve">In addition, there is the question of whether the appeal scheme would result in harm to </w:t>
      </w:r>
      <w:r w:rsidR="00E416D3">
        <w:rPr>
          <w:rFonts w:ascii="Book Antiqua" w:hAnsi="Book Antiqua"/>
          <w:sz w:val="22"/>
          <w:szCs w:val="22"/>
        </w:rPr>
        <w:t xml:space="preserve">the </w:t>
      </w:r>
      <w:r w:rsidR="00A2405E">
        <w:rPr>
          <w:rFonts w:ascii="Book Antiqua" w:hAnsi="Book Antiqua"/>
          <w:sz w:val="22"/>
          <w:szCs w:val="22"/>
        </w:rPr>
        <w:t xml:space="preserve">designated and non-designated heritage assets </w:t>
      </w:r>
      <w:r w:rsidR="00E416D3">
        <w:rPr>
          <w:rFonts w:ascii="Book Antiqua" w:hAnsi="Book Antiqua"/>
          <w:sz w:val="22"/>
          <w:szCs w:val="22"/>
        </w:rPr>
        <w:t xml:space="preserve">which contribute to </w:t>
      </w:r>
      <w:r>
        <w:rPr>
          <w:rFonts w:ascii="Book Antiqua" w:hAnsi="Book Antiqua"/>
          <w:sz w:val="22"/>
          <w:szCs w:val="22"/>
        </w:rPr>
        <w:t>the character of the area</w:t>
      </w:r>
      <w:r w:rsidR="00A2405E">
        <w:rPr>
          <w:rFonts w:ascii="Book Antiqua" w:hAnsi="Book Antiqua"/>
          <w:sz w:val="22"/>
          <w:szCs w:val="22"/>
        </w:rPr>
        <w:t xml:space="preserve">? If it would, then the question arises whether the public benefits of the scheme </w:t>
      </w:r>
      <w:r w:rsidR="00E416D3">
        <w:rPr>
          <w:rFonts w:ascii="Book Antiqua" w:hAnsi="Book Antiqua"/>
          <w:sz w:val="22"/>
          <w:szCs w:val="22"/>
        </w:rPr>
        <w:t xml:space="preserve">are capable of </w:t>
      </w:r>
      <w:r w:rsidR="00A2405E">
        <w:rPr>
          <w:rFonts w:ascii="Book Antiqua" w:hAnsi="Book Antiqua"/>
          <w:sz w:val="22"/>
          <w:szCs w:val="22"/>
        </w:rPr>
        <w:t>outweigh</w:t>
      </w:r>
      <w:r w:rsidR="00E416D3">
        <w:rPr>
          <w:rFonts w:ascii="Book Antiqua" w:hAnsi="Book Antiqua"/>
          <w:sz w:val="22"/>
          <w:szCs w:val="22"/>
        </w:rPr>
        <w:t>ing</w:t>
      </w:r>
      <w:r w:rsidR="00A2405E">
        <w:rPr>
          <w:rFonts w:ascii="Book Antiqua" w:hAnsi="Book Antiqua"/>
          <w:sz w:val="22"/>
          <w:szCs w:val="22"/>
        </w:rPr>
        <w:t xml:space="preserve"> that harm.</w:t>
      </w:r>
      <w:r>
        <w:rPr>
          <w:rFonts w:ascii="Book Antiqua" w:hAnsi="Book Antiqua"/>
          <w:sz w:val="22"/>
          <w:szCs w:val="22"/>
        </w:rPr>
        <w:t xml:space="preserve"> </w:t>
      </w:r>
    </w:p>
    <w:p w14:paraId="24E7A9B0" w14:textId="77777777" w:rsidR="00CA6935" w:rsidRPr="0015400F" w:rsidRDefault="00CA6935" w:rsidP="0015400F">
      <w:pPr>
        <w:pStyle w:val="ListParagraph"/>
        <w:spacing w:line="360" w:lineRule="auto"/>
        <w:rPr>
          <w:rFonts w:ascii="Book Antiqua" w:hAnsi="Book Antiqua"/>
          <w:sz w:val="22"/>
          <w:szCs w:val="22"/>
        </w:rPr>
      </w:pPr>
    </w:p>
    <w:p w14:paraId="377CF06D" w14:textId="5A67DA93" w:rsidR="002B7D6A" w:rsidRDefault="002B7D6A" w:rsidP="002B7D6A">
      <w:pPr>
        <w:pStyle w:val="ListParagraph"/>
        <w:numPr>
          <w:ilvl w:val="0"/>
          <w:numId w:val="5"/>
        </w:numPr>
        <w:spacing w:line="360" w:lineRule="auto"/>
        <w:jc w:val="both"/>
        <w:rPr>
          <w:rFonts w:ascii="Book Antiqua" w:hAnsi="Book Antiqua"/>
          <w:sz w:val="22"/>
          <w:szCs w:val="22"/>
        </w:rPr>
      </w:pPr>
      <w:r w:rsidRPr="0015400F">
        <w:rPr>
          <w:rFonts w:ascii="Book Antiqua" w:hAnsi="Book Antiqua"/>
          <w:sz w:val="22"/>
          <w:szCs w:val="22"/>
        </w:rPr>
        <w:t>The appeal proposal was refused on seven grounds. A number of those issues have been resolved through the provision by the Appellant of additional information which should have been provided at the application stage.</w:t>
      </w:r>
      <w:r>
        <w:rPr>
          <w:rStyle w:val="FootnoteReference"/>
          <w:rFonts w:ascii="Book Antiqua" w:hAnsi="Book Antiqua"/>
          <w:sz w:val="22"/>
          <w:szCs w:val="22"/>
        </w:rPr>
        <w:footnoteReference w:id="8"/>
      </w:r>
      <w:r w:rsidRPr="0015400F">
        <w:rPr>
          <w:rFonts w:ascii="Book Antiqua" w:hAnsi="Book Antiqua"/>
          <w:sz w:val="22"/>
          <w:szCs w:val="22"/>
        </w:rPr>
        <w:t xml:space="preserve"> Subject to the </w:t>
      </w:r>
      <w:r>
        <w:rPr>
          <w:rFonts w:ascii="Book Antiqua" w:hAnsi="Book Antiqua"/>
          <w:sz w:val="22"/>
          <w:szCs w:val="22"/>
        </w:rPr>
        <w:t xml:space="preserve">further </w:t>
      </w:r>
      <w:r w:rsidRPr="0015400F">
        <w:rPr>
          <w:rFonts w:ascii="Book Antiqua" w:hAnsi="Book Antiqua"/>
          <w:sz w:val="22"/>
          <w:szCs w:val="22"/>
        </w:rPr>
        <w:t xml:space="preserve">provision of </w:t>
      </w:r>
      <w:r>
        <w:rPr>
          <w:rFonts w:ascii="Book Antiqua" w:hAnsi="Book Antiqua"/>
          <w:sz w:val="22"/>
          <w:szCs w:val="22"/>
        </w:rPr>
        <w:t>details on the air quality matters</w:t>
      </w:r>
      <w:r w:rsidR="000F734F">
        <w:rPr>
          <w:rStyle w:val="FootnoteReference"/>
          <w:rFonts w:ascii="Book Antiqua" w:hAnsi="Book Antiqua"/>
          <w:sz w:val="22"/>
          <w:szCs w:val="22"/>
        </w:rPr>
        <w:footnoteReference w:id="9"/>
      </w:r>
      <w:r>
        <w:rPr>
          <w:rFonts w:ascii="Book Antiqua" w:hAnsi="Book Antiqua"/>
          <w:sz w:val="22"/>
          <w:szCs w:val="22"/>
        </w:rPr>
        <w:t xml:space="preserve"> </w:t>
      </w:r>
      <w:r w:rsidRPr="0015400F">
        <w:rPr>
          <w:rFonts w:ascii="Book Antiqua" w:hAnsi="Book Antiqua"/>
          <w:sz w:val="22"/>
          <w:szCs w:val="22"/>
        </w:rPr>
        <w:t xml:space="preserve">reasons for refusal 4 </w:t>
      </w:r>
      <w:r>
        <w:rPr>
          <w:rFonts w:ascii="Book Antiqua" w:hAnsi="Book Antiqua"/>
          <w:sz w:val="22"/>
          <w:szCs w:val="22"/>
        </w:rPr>
        <w:t>and</w:t>
      </w:r>
      <w:r w:rsidRPr="0015400F">
        <w:rPr>
          <w:rFonts w:ascii="Book Antiqua" w:hAnsi="Book Antiqua"/>
          <w:sz w:val="22"/>
          <w:szCs w:val="22"/>
        </w:rPr>
        <w:t xml:space="preserve"> 6 can be withdrawn. </w:t>
      </w:r>
      <w:r>
        <w:rPr>
          <w:rFonts w:ascii="Book Antiqua" w:hAnsi="Book Antiqua"/>
          <w:sz w:val="22"/>
          <w:szCs w:val="22"/>
        </w:rPr>
        <w:t xml:space="preserve">With respect to reason for refusal 5 (cycle storage), the LPA welcomes the increased provision </w:t>
      </w:r>
      <w:r w:rsidR="000F734F">
        <w:rPr>
          <w:rFonts w:ascii="Book Antiqua" w:hAnsi="Book Antiqua"/>
          <w:sz w:val="22"/>
          <w:szCs w:val="22"/>
        </w:rPr>
        <w:t>of</w:t>
      </w:r>
      <w:r>
        <w:rPr>
          <w:rFonts w:ascii="Book Antiqua" w:hAnsi="Book Antiqua"/>
          <w:sz w:val="22"/>
          <w:szCs w:val="22"/>
        </w:rPr>
        <w:t xml:space="preserve"> cycle storage, however, it has outstanding concerns over accessibility and </w:t>
      </w:r>
      <w:r>
        <w:rPr>
          <w:rFonts w:ascii="Book Antiqua" w:hAnsi="Book Antiqua"/>
          <w:sz w:val="22"/>
          <w:szCs w:val="22"/>
        </w:rPr>
        <w:lastRenderedPageBreak/>
        <w:t>location of th</w:t>
      </w:r>
      <w:r w:rsidR="000F734F">
        <w:rPr>
          <w:rFonts w:ascii="Book Antiqua" w:hAnsi="Book Antiqua"/>
          <w:sz w:val="22"/>
          <w:szCs w:val="22"/>
        </w:rPr>
        <w:t>e</w:t>
      </w:r>
      <w:r>
        <w:rPr>
          <w:rFonts w:ascii="Book Antiqua" w:hAnsi="Book Antiqua"/>
          <w:sz w:val="22"/>
          <w:szCs w:val="22"/>
        </w:rPr>
        <w:t xml:space="preserve"> cycle storage which are </w:t>
      </w:r>
      <w:r w:rsidRPr="00DB5911">
        <w:rPr>
          <w:rFonts w:ascii="Book Antiqua" w:hAnsi="Book Antiqua"/>
          <w:sz w:val="22"/>
          <w:szCs w:val="22"/>
        </w:rPr>
        <w:t>addressed in a written statement</w:t>
      </w:r>
      <w:r w:rsidR="000F734F">
        <w:rPr>
          <w:rFonts w:ascii="Book Antiqua" w:hAnsi="Book Antiqua"/>
          <w:sz w:val="22"/>
          <w:szCs w:val="22"/>
        </w:rPr>
        <w:t>. (</w:t>
      </w:r>
      <w:r w:rsidRPr="00DB5911">
        <w:rPr>
          <w:rFonts w:ascii="Book Antiqua" w:hAnsi="Book Antiqua"/>
          <w:sz w:val="22"/>
          <w:szCs w:val="22"/>
        </w:rPr>
        <w:t>The LPA does not consider a roundtable discussion is needed</w:t>
      </w:r>
      <w:r w:rsidR="000F734F">
        <w:rPr>
          <w:rFonts w:ascii="Book Antiqua" w:hAnsi="Book Antiqua"/>
          <w:sz w:val="22"/>
          <w:szCs w:val="22"/>
        </w:rPr>
        <w:t>)</w:t>
      </w:r>
      <w:r w:rsidRPr="00DB5911">
        <w:rPr>
          <w:rFonts w:ascii="Book Antiqua" w:hAnsi="Book Antiqua"/>
          <w:sz w:val="22"/>
          <w:szCs w:val="22"/>
        </w:rPr>
        <w:t>.</w:t>
      </w:r>
      <w:r w:rsidR="002A5E03" w:rsidRPr="00DB5911">
        <w:rPr>
          <w:rFonts w:ascii="Book Antiqua" w:hAnsi="Book Antiqua"/>
          <w:sz w:val="22"/>
          <w:szCs w:val="22"/>
        </w:rPr>
        <w:t xml:space="preserve"> Whilst reason for refusal 7 is partially addressed by agreed draft s106, the </w:t>
      </w:r>
      <w:r w:rsidR="00DB5911" w:rsidRPr="00DB5911">
        <w:rPr>
          <w:rFonts w:ascii="Book Antiqua" w:hAnsi="Book Antiqua"/>
          <w:sz w:val="22"/>
          <w:szCs w:val="22"/>
        </w:rPr>
        <w:t xml:space="preserve">LPA is has raised concerns about </w:t>
      </w:r>
      <w:r w:rsidR="002A5E03" w:rsidRPr="00DB5911">
        <w:rPr>
          <w:rFonts w:ascii="Book Antiqua" w:hAnsi="Book Antiqua"/>
          <w:sz w:val="22"/>
          <w:szCs w:val="22"/>
        </w:rPr>
        <w:t xml:space="preserve">the Appellant’s proposed voluntary </w:t>
      </w:r>
      <w:r w:rsidR="00DB5911" w:rsidRPr="00DB5911">
        <w:rPr>
          <w:rFonts w:ascii="Book Antiqua" w:hAnsi="Book Antiqua"/>
          <w:sz w:val="22"/>
          <w:szCs w:val="22"/>
        </w:rPr>
        <w:t xml:space="preserve">rent </w:t>
      </w:r>
      <w:r w:rsidR="002A5E03" w:rsidRPr="00DB5911">
        <w:rPr>
          <w:rFonts w:ascii="Book Antiqua" w:hAnsi="Book Antiqua"/>
          <w:sz w:val="22"/>
          <w:szCs w:val="22"/>
        </w:rPr>
        <w:t>cap</w:t>
      </w:r>
      <w:r w:rsidR="00DB5911" w:rsidRPr="00DB5911">
        <w:rPr>
          <w:rFonts w:ascii="Book Antiqua" w:hAnsi="Book Antiqua"/>
          <w:sz w:val="22"/>
          <w:szCs w:val="22"/>
        </w:rPr>
        <w:t>.</w:t>
      </w:r>
      <w:r w:rsidR="000F734F">
        <w:rPr>
          <w:rStyle w:val="FootnoteReference"/>
          <w:rFonts w:ascii="Book Antiqua" w:hAnsi="Book Antiqua"/>
          <w:sz w:val="22"/>
          <w:szCs w:val="22"/>
        </w:rPr>
        <w:footnoteReference w:id="10"/>
      </w:r>
      <w:r w:rsidR="002A5E03">
        <w:rPr>
          <w:rFonts w:ascii="Book Antiqua" w:hAnsi="Book Antiqua"/>
          <w:sz w:val="22"/>
          <w:szCs w:val="22"/>
        </w:rPr>
        <w:t xml:space="preserve"> </w:t>
      </w:r>
      <w:r w:rsidR="002A5E03" w:rsidRPr="0015400F">
        <w:rPr>
          <w:rFonts w:ascii="Book Antiqua" w:hAnsi="Book Antiqua"/>
          <w:sz w:val="22"/>
          <w:szCs w:val="22"/>
        </w:rPr>
        <w:t xml:space="preserve">  </w:t>
      </w:r>
    </w:p>
    <w:p w14:paraId="68C29AE3" w14:textId="77777777" w:rsidR="00463EA0" w:rsidRDefault="00463EA0" w:rsidP="0015400F">
      <w:pPr>
        <w:spacing w:line="360" w:lineRule="auto"/>
        <w:rPr>
          <w:rFonts w:ascii="Book Antiqua" w:hAnsi="Book Antiqua"/>
          <w:b/>
          <w:sz w:val="22"/>
          <w:szCs w:val="22"/>
          <w:u w:val="single"/>
        </w:rPr>
      </w:pPr>
    </w:p>
    <w:p w14:paraId="3504D47F" w14:textId="2FD06515" w:rsidR="00CA6935" w:rsidRPr="00C72883" w:rsidRDefault="00CA6935" w:rsidP="0015400F">
      <w:pPr>
        <w:spacing w:line="360" w:lineRule="auto"/>
        <w:rPr>
          <w:rFonts w:ascii="Book Antiqua" w:hAnsi="Book Antiqua"/>
          <w:b/>
          <w:sz w:val="22"/>
          <w:szCs w:val="22"/>
          <w:u w:val="single"/>
        </w:rPr>
      </w:pPr>
      <w:r w:rsidRPr="00C72883">
        <w:rPr>
          <w:rFonts w:ascii="Book Antiqua" w:hAnsi="Book Antiqua"/>
          <w:b/>
          <w:sz w:val="22"/>
          <w:szCs w:val="22"/>
          <w:u w:val="single"/>
        </w:rPr>
        <w:t>Reason for Refusal 1</w:t>
      </w:r>
      <w:r w:rsidR="00C72883" w:rsidRPr="00C72883">
        <w:rPr>
          <w:rFonts w:ascii="Book Antiqua" w:hAnsi="Book Antiqua"/>
          <w:b/>
          <w:sz w:val="22"/>
          <w:szCs w:val="22"/>
          <w:u w:val="single"/>
        </w:rPr>
        <w:t xml:space="preserve"> – Application of D.H7, Need and Affordability</w:t>
      </w:r>
    </w:p>
    <w:p w14:paraId="3B15E9AD" w14:textId="4DBD7269" w:rsidR="006368B7" w:rsidRDefault="006368B7" w:rsidP="0015400F">
      <w:pPr>
        <w:spacing w:line="360" w:lineRule="auto"/>
        <w:rPr>
          <w:rFonts w:ascii="Book Antiqua" w:hAnsi="Book Antiqua"/>
          <w:b/>
          <w:sz w:val="22"/>
          <w:szCs w:val="22"/>
        </w:rPr>
      </w:pPr>
    </w:p>
    <w:p w14:paraId="77DAF38B" w14:textId="0E983A01" w:rsidR="00A2405E" w:rsidRPr="00A2405E" w:rsidRDefault="00A2405E" w:rsidP="0015400F">
      <w:pPr>
        <w:spacing w:line="360" w:lineRule="auto"/>
        <w:rPr>
          <w:rFonts w:ascii="Book Antiqua" w:hAnsi="Book Antiqua"/>
          <w:i/>
          <w:sz w:val="22"/>
          <w:szCs w:val="22"/>
        </w:rPr>
      </w:pPr>
      <w:r>
        <w:rPr>
          <w:rFonts w:ascii="Book Antiqua" w:hAnsi="Book Antiqua"/>
          <w:i/>
          <w:sz w:val="22"/>
          <w:szCs w:val="22"/>
        </w:rPr>
        <w:t>Policy Framework</w:t>
      </w:r>
    </w:p>
    <w:p w14:paraId="7E78FC8F" w14:textId="41A0C6B4" w:rsidR="00A2405E" w:rsidRPr="00A2405E" w:rsidRDefault="000F734F" w:rsidP="00A2405E">
      <w:pPr>
        <w:pStyle w:val="ListParagraph"/>
        <w:numPr>
          <w:ilvl w:val="0"/>
          <w:numId w:val="5"/>
        </w:numPr>
        <w:spacing w:line="360" w:lineRule="auto"/>
        <w:jc w:val="both"/>
        <w:rPr>
          <w:rFonts w:ascii="Book Antiqua" w:hAnsi="Book Antiqua"/>
          <w:sz w:val="22"/>
          <w:szCs w:val="22"/>
        </w:rPr>
      </w:pPr>
      <w:r>
        <w:rPr>
          <w:rFonts w:ascii="Book Antiqua" w:hAnsi="Book Antiqua"/>
          <w:sz w:val="22"/>
          <w:szCs w:val="22"/>
        </w:rPr>
        <w:t>T</w:t>
      </w:r>
      <w:r w:rsidR="00126E2A">
        <w:rPr>
          <w:rFonts w:ascii="Book Antiqua" w:hAnsi="Book Antiqua"/>
          <w:sz w:val="22"/>
          <w:szCs w:val="22"/>
        </w:rPr>
        <w:t xml:space="preserve">he </w:t>
      </w:r>
      <w:r w:rsidR="00463EA0">
        <w:rPr>
          <w:rFonts w:ascii="Book Antiqua" w:hAnsi="Book Antiqua"/>
          <w:sz w:val="22"/>
          <w:szCs w:val="22"/>
        </w:rPr>
        <w:t>recent</w:t>
      </w:r>
      <w:r w:rsidR="00126E2A">
        <w:rPr>
          <w:rFonts w:ascii="Book Antiqua" w:hAnsi="Book Antiqua"/>
          <w:sz w:val="22"/>
          <w:szCs w:val="22"/>
        </w:rPr>
        <w:t xml:space="preserve"> proliferation of l</w:t>
      </w:r>
      <w:r w:rsidR="00A2405E" w:rsidRPr="00A2405E">
        <w:rPr>
          <w:rFonts w:ascii="Book Antiqua" w:hAnsi="Book Antiqua"/>
          <w:sz w:val="22"/>
          <w:szCs w:val="22"/>
        </w:rPr>
        <w:t>arge-scale purpose built HMOs</w:t>
      </w:r>
      <w:r w:rsidR="00126E2A">
        <w:rPr>
          <w:rFonts w:ascii="Book Antiqua" w:hAnsi="Book Antiqua"/>
          <w:sz w:val="22"/>
          <w:szCs w:val="22"/>
        </w:rPr>
        <w:t xml:space="preserve"> (co-living)</w:t>
      </w:r>
      <w:r w:rsidR="00A2405E" w:rsidRPr="00A2405E">
        <w:rPr>
          <w:rFonts w:ascii="Book Antiqua" w:hAnsi="Book Antiqua"/>
          <w:sz w:val="22"/>
          <w:szCs w:val="22"/>
        </w:rPr>
        <w:t>, many of which charge commercial rents</w:t>
      </w:r>
      <w:r>
        <w:rPr>
          <w:rFonts w:ascii="Book Antiqua" w:hAnsi="Book Antiqua"/>
          <w:sz w:val="22"/>
          <w:szCs w:val="22"/>
        </w:rPr>
        <w:t xml:space="preserve"> is addressed in recently developed policies.</w:t>
      </w:r>
      <w:r w:rsidR="00A2405E" w:rsidRPr="00A2405E">
        <w:rPr>
          <w:rFonts w:ascii="Book Antiqua" w:hAnsi="Book Antiqua"/>
          <w:sz w:val="22"/>
          <w:szCs w:val="22"/>
        </w:rPr>
        <w:t xml:space="preserve"> </w:t>
      </w:r>
      <w:r w:rsidR="00126E2A">
        <w:rPr>
          <w:rFonts w:ascii="Book Antiqua" w:hAnsi="Book Antiqua"/>
          <w:sz w:val="22"/>
          <w:szCs w:val="22"/>
        </w:rPr>
        <w:t xml:space="preserve">Both Policy </w:t>
      </w:r>
      <w:r w:rsidR="00A2405E" w:rsidRPr="00A2405E">
        <w:rPr>
          <w:rFonts w:ascii="Book Antiqua" w:hAnsi="Book Antiqua"/>
          <w:sz w:val="22"/>
          <w:szCs w:val="22"/>
        </w:rPr>
        <w:t>D.H7 of the Tower Hamlets Local Plan 2031 (2020)</w:t>
      </w:r>
      <w:r w:rsidR="00126E2A">
        <w:rPr>
          <w:rFonts w:ascii="Book Antiqua" w:hAnsi="Book Antiqua"/>
          <w:sz w:val="22"/>
          <w:szCs w:val="22"/>
        </w:rPr>
        <w:t xml:space="preserve"> (“Local Plan</w:t>
      </w:r>
      <w:r w:rsidR="00DF0F40">
        <w:rPr>
          <w:rFonts w:ascii="Book Antiqua" w:hAnsi="Book Antiqua"/>
          <w:sz w:val="22"/>
          <w:szCs w:val="22"/>
        </w:rPr>
        <w:t>”</w:t>
      </w:r>
      <w:r w:rsidR="00126E2A">
        <w:rPr>
          <w:rFonts w:ascii="Book Antiqua" w:hAnsi="Book Antiqua"/>
          <w:sz w:val="22"/>
          <w:szCs w:val="22"/>
        </w:rPr>
        <w:t>)</w:t>
      </w:r>
      <w:r w:rsidR="00DF0F40">
        <w:rPr>
          <w:rStyle w:val="FootnoteReference"/>
          <w:rFonts w:ascii="Book Antiqua" w:hAnsi="Book Antiqua"/>
          <w:sz w:val="22"/>
          <w:szCs w:val="22"/>
        </w:rPr>
        <w:footnoteReference w:id="11"/>
      </w:r>
      <w:r w:rsidR="00126E2A">
        <w:rPr>
          <w:rFonts w:ascii="Book Antiqua" w:hAnsi="Book Antiqua"/>
          <w:sz w:val="22"/>
          <w:szCs w:val="22"/>
        </w:rPr>
        <w:t xml:space="preserve"> and </w:t>
      </w:r>
      <w:r w:rsidR="00A2405E" w:rsidRPr="00A2405E">
        <w:rPr>
          <w:rFonts w:ascii="Book Antiqua" w:hAnsi="Book Antiqua"/>
          <w:sz w:val="22"/>
          <w:szCs w:val="22"/>
        </w:rPr>
        <w:t>draft policy H16</w:t>
      </w:r>
      <w:r w:rsidR="00126E2A">
        <w:rPr>
          <w:rFonts w:ascii="Book Antiqua" w:hAnsi="Book Antiqua"/>
          <w:sz w:val="22"/>
          <w:szCs w:val="22"/>
        </w:rPr>
        <w:t xml:space="preserve"> of the new London Plan, to which substantial weight can be given, </w:t>
      </w:r>
      <w:r>
        <w:rPr>
          <w:rFonts w:ascii="Book Antiqua" w:hAnsi="Book Antiqua"/>
          <w:sz w:val="22"/>
          <w:szCs w:val="22"/>
        </w:rPr>
        <w:t>apply to this scheme</w:t>
      </w:r>
      <w:r w:rsidR="00A2405E" w:rsidRPr="00A2405E">
        <w:rPr>
          <w:rFonts w:ascii="Book Antiqua" w:hAnsi="Book Antiqua"/>
          <w:sz w:val="22"/>
          <w:szCs w:val="22"/>
        </w:rPr>
        <w:t xml:space="preserve">. </w:t>
      </w:r>
      <w:r w:rsidR="00463EA0">
        <w:rPr>
          <w:rFonts w:ascii="Book Antiqua" w:hAnsi="Book Antiqua"/>
          <w:sz w:val="22"/>
          <w:szCs w:val="22"/>
        </w:rPr>
        <w:t>The</w:t>
      </w:r>
      <w:r w:rsidR="00126E2A">
        <w:rPr>
          <w:rFonts w:ascii="Book Antiqua" w:hAnsi="Book Antiqua"/>
          <w:sz w:val="22"/>
          <w:szCs w:val="22"/>
        </w:rPr>
        <w:t xml:space="preserve"> policies recognise the potential contribution </w:t>
      </w:r>
      <w:r w:rsidR="00463EA0">
        <w:rPr>
          <w:rFonts w:ascii="Book Antiqua" w:hAnsi="Book Antiqua"/>
          <w:sz w:val="22"/>
          <w:szCs w:val="22"/>
        </w:rPr>
        <w:t>that</w:t>
      </w:r>
      <w:r w:rsidR="00126E2A">
        <w:rPr>
          <w:rFonts w:ascii="Book Antiqua" w:hAnsi="Book Antiqua"/>
          <w:sz w:val="22"/>
          <w:szCs w:val="22"/>
        </w:rPr>
        <w:t xml:space="preserve"> this type of HMO </w:t>
      </w:r>
      <w:r w:rsidR="00463EA0">
        <w:rPr>
          <w:rFonts w:ascii="Book Antiqua" w:hAnsi="Book Antiqua"/>
          <w:sz w:val="22"/>
          <w:szCs w:val="22"/>
        </w:rPr>
        <w:t>can make to fulfilling</w:t>
      </w:r>
      <w:r w:rsidR="00126E2A">
        <w:rPr>
          <w:rFonts w:ascii="Book Antiqua" w:hAnsi="Book Antiqua"/>
          <w:sz w:val="22"/>
          <w:szCs w:val="22"/>
        </w:rPr>
        <w:t xml:space="preserve"> housing need</w:t>
      </w:r>
      <w:r w:rsidR="00463EA0">
        <w:rPr>
          <w:rFonts w:ascii="Book Antiqua" w:hAnsi="Book Antiqua"/>
          <w:sz w:val="22"/>
          <w:szCs w:val="22"/>
        </w:rPr>
        <w:t>, but like conventional C3 schemes, policy</w:t>
      </w:r>
      <w:r w:rsidR="00126E2A">
        <w:rPr>
          <w:rFonts w:ascii="Book Antiqua" w:hAnsi="Book Antiqua"/>
          <w:sz w:val="22"/>
          <w:szCs w:val="22"/>
        </w:rPr>
        <w:t xml:space="preserve"> require</w:t>
      </w:r>
      <w:r w:rsidR="00463EA0">
        <w:rPr>
          <w:rFonts w:ascii="Book Antiqua" w:hAnsi="Book Antiqua"/>
          <w:sz w:val="22"/>
          <w:szCs w:val="22"/>
        </w:rPr>
        <w:t>s</w:t>
      </w:r>
      <w:r w:rsidR="00126E2A">
        <w:rPr>
          <w:rFonts w:ascii="Book Antiqua" w:hAnsi="Book Antiqua"/>
          <w:sz w:val="22"/>
          <w:szCs w:val="22"/>
        </w:rPr>
        <w:t xml:space="preserve"> that such developments </w:t>
      </w:r>
      <w:r w:rsidR="00A2405E" w:rsidRPr="00A2405E">
        <w:rPr>
          <w:rFonts w:ascii="Book Antiqua" w:hAnsi="Book Antiqua"/>
          <w:sz w:val="22"/>
          <w:szCs w:val="22"/>
        </w:rPr>
        <w:t>make an appropriate contribution to affordable housing against a</w:t>
      </w:r>
      <w:r w:rsidR="00126E2A">
        <w:rPr>
          <w:rFonts w:ascii="Book Antiqua" w:hAnsi="Book Antiqua"/>
          <w:sz w:val="22"/>
          <w:szCs w:val="22"/>
        </w:rPr>
        <w:t xml:space="preserve"> background of</w:t>
      </w:r>
      <w:r w:rsidR="00A2405E" w:rsidRPr="00A2405E">
        <w:rPr>
          <w:rFonts w:ascii="Book Antiqua" w:hAnsi="Book Antiqua"/>
          <w:sz w:val="22"/>
          <w:szCs w:val="22"/>
        </w:rPr>
        <w:t xml:space="preserve"> acute need for </w:t>
      </w:r>
      <w:r w:rsidR="00463EA0">
        <w:rPr>
          <w:rFonts w:ascii="Book Antiqua" w:hAnsi="Book Antiqua"/>
          <w:sz w:val="22"/>
          <w:szCs w:val="22"/>
        </w:rPr>
        <w:t xml:space="preserve">such housing </w:t>
      </w:r>
      <w:r w:rsidR="00A2405E" w:rsidRPr="00A2405E">
        <w:rPr>
          <w:rFonts w:ascii="Book Antiqua" w:hAnsi="Book Antiqua"/>
          <w:sz w:val="22"/>
          <w:szCs w:val="22"/>
        </w:rPr>
        <w:t>in Tower Hamlets and London generally.</w:t>
      </w:r>
      <w:r w:rsidR="00A2405E" w:rsidRPr="0015400F">
        <w:rPr>
          <w:rStyle w:val="FootnoteReference"/>
          <w:rFonts w:ascii="Book Antiqua" w:hAnsi="Book Antiqua"/>
          <w:sz w:val="22"/>
          <w:szCs w:val="22"/>
        </w:rPr>
        <w:footnoteReference w:id="12"/>
      </w:r>
    </w:p>
    <w:p w14:paraId="154E78B2" w14:textId="77777777" w:rsidR="00A2405E" w:rsidRDefault="00A2405E" w:rsidP="00126E2A">
      <w:pPr>
        <w:pStyle w:val="ListParagraph"/>
        <w:spacing w:line="360" w:lineRule="auto"/>
        <w:jc w:val="both"/>
        <w:rPr>
          <w:rFonts w:ascii="Book Antiqua" w:hAnsi="Book Antiqua"/>
          <w:sz w:val="22"/>
          <w:szCs w:val="22"/>
        </w:rPr>
      </w:pPr>
    </w:p>
    <w:p w14:paraId="12392DA2" w14:textId="0932FB8A" w:rsidR="001C01EE" w:rsidRDefault="00126E2A" w:rsidP="00A2405E">
      <w:pPr>
        <w:pStyle w:val="ListParagraph"/>
        <w:numPr>
          <w:ilvl w:val="0"/>
          <w:numId w:val="5"/>
        </w:numPr>
        <w:spacing w:line="360" w:lineRule="auto"/>
        <w:jc w:val="both"/>
        <w:rPr>
          <w:rFonts w:ascii="Book Antiqua" w:hAnsi="Book Antiqua"/>
          <w:sz w:val="22"/>
          <w:szCs w:val="22"/>
        </w:rPr>
      </w:pPr>
      <w:r>
        <w:rPr>
          <w:rFonts w:ascii="Book Antiqua" w:hAnsi="Book Antiqua"/>
          <w:sz w:val="22"/>
          <w:szCs w:val="22"/>
        </w:rPr>
        <w:t xml:space="preserve">Policy </w:t>
      </w:r>
      <w:r w:rsidR="001C01EE" w:rsidRPr="0015400F">
        <w:rPr>
          <w:rFonts w:ascii="Book Antiqua" w:hAnsi="Book Antiqua"/>
          <w:sz w:val="22"/>
          <w:szCs w:val="22"/>
        </w:rPr>
        <w:t>D.H7</w:t>
      </w:r>
      <w:r>
        <w:rPr>
          <w:rFonts w:ascii="Book Antiqua" w:hAnsi="Book Antiqua"/>
          <w:sz w:val="22"/>
          <w:szCs w:val="22"/>
        </w:rPr>
        <w:t xml:space="preserve">, and in particular </w:t>
      </w:r>
      <w:r w:rsidR="001C01EE" w:rsidRPr="0015400F">
        <w:rPr>
          <w:rFonts w:ascii="Book Antiqua" w:hAnsi="Book Antiqua"/>
          <w:sz w:val="22"/>
          <w:szCs w:val="22"/>
        </w:rPr>
        <w:t>D.H7 1(a) and (c)</w:t>
      </w:r>
      <w:r>
        <w:rPr>
          <w:rFonts w:ascii="Book Antiqua" w:hAnsi="Book Antiqua"/>
          <w:sz w:val="22"/>
          <w:szCs w:val="22"/>
        </w:rPr>
        <w:t xml:space="preserve"> are central to this appeal</w:t>
      </w:r>
      <w:r w:rsidR="001C01EE" w:rsidRPr="0015400F">
        <w:rPr>
          <w:rFonts w:ascii="Book Antiqua" w:hAnsi="Book Antiqua"/>
          <w:sz w:val="22"/>
          <w:szCs w:val="22"/>
        </w:rPr>
        <w:t xml:space="preserve">. If the Appellant is in conflict with </w:t>
      </w:r>
      <w:r w:rsidR="001C01EE" w:rsidRPr="0015400F">
        <w:rPr>
          <w:rFonts w:ascii="Book Antiqua" w:hAnsi="Book Antiqua"/>
          <w:i/>
          <w:sz w:val="22"/>
          <w:szCs w:val="22"/>
        </w:rPr>
        <w:t>either</w:t>
      </w:r>
      <w:r w:rsidR="001C01EE" w:rsidRPr="0015400F">
        <w:rPr>
          <w:rFonts w:ascii="Book Antiqua" w:hAnsi="Book Antiqua"/>
          <w:sz w:val="22"/>
          <w:szCs w:val="22"/>
        </w:rPr>
        <w:t xml:space="preserve"> of those criteria it should be refused. </w:t>
      </w:r>
    </w:p>
    <w:p w14:paraId="3407D2D6" w14:textId="77777777" w:rsidR="00320655" w:rsidRPr="00320655" w:rsidRDefault="00320655" w:rsidP="00320655">
      <w:pPr>
        <w:pStyle w:val="ListParagraph"/>
        <w:rPr>
          <w:rFonts w:ascii="Book Antiqua" w:hAnsi="Book Antiqua"/>
          <w:sz w:val="22"/>
          <w:szCs w:val="22"/>
        </w:rPr>
      </w:pPr>
    </w:p>
    <w:p w14:paraId="43E32941" w14:textId="0B7C484C" w:rsidR="00320655" w:rsidRDefault="00320655" w:rsidP="00320655">
      <w:pPr>
        <w:spacing w:line="360" w:lineRule="auto"/>
        <w:rPr>
          <w:rFonts w:ascii="Book Antiqua" w:hAnsi="Book Antiqua"/>
          <w:sz w:val="22"/>
          <w:szCs w:val="22"/>
        </w:rPr>
      </w:pPr>
      <w:r w:rsidRPr="0015400F">
        <w:rPr>
          <w:rFonts w:ascii="Book Antiqua" w:hAnsi="Book Antiqua"/>
          <w:i/>
          <w:sz w:val="22"/>
          <w:szCs w:val="22"/>
        </w:rPr>
        <w:t>Does the appeal scheme meet “an identified need”</w:t>
      </w:r>
      <w:r>
        <w:rPr>
          <w:rFonts w:ascii="Book Antiqua" w:hAnsi="Book Antiqua"/>
          <w:sz w:val="22"/>
          <w:szCs w:val="22"/>
        </w:rPr>
        <w:t xml:space="preserve"> (D.H7 1(a))</w:t>
      </w:r>
      <w:r w:rsidRPr="0015400F">
        <w:rPr>
          <w:rFonts w:ascii="Book Antiqua" w:hAnsi="Book Antiqua"/>
          <w:sz w:val="22"/>
          <w:szCs w:val="22"/>
        </w:rPr>
        <w:t>?</w:t>
      </w:r>
    </w:p>
    <w:p w14:paraId="39EE3C63" w14:textId="77777777" w:rsidR="00463EA0" w:rsidRPr="0015400F" w:rsidRDefault="00463EA0" w:rsidP="00320655">
      <w:pPr>
        <w:spacing w:line="360" w:lineRule="auto"/>
        <w:rPr>
          <w:rFonts w:ascii="Book Antiqua" w:hAnsi="Book Antiqua"/>
          <w:sz w:val="22"/>
          <w:szCs w:val="22"/>
        </w:rPr>
      </w:pPr>
    </w:p>
    <w:p w14:paraId="7CB27F12" w14:textId="5390F9E4" w:rsidR="00320655" w:rsidRPr="00320655" w:rsidRDefault="00320655" w:rsidP="00320655">
      <w:pPr>
        <w:pStyle w:val="ListParagraph"/>
        <w:numPr>
          <w:ilvl w:val="0"/>
          <w:numId w:val="5"/>
        </w:numPr>
        <w:spacing w:line="360" w:lineRule="auto"/>
        <w:jc w:val="both"/>
        <w:rPr>
          <w:rFonts w:ascii="Book Antiqua" w:hAnsi="Book Antiqua"/>
          <w:sz w:val="22"/>
          <w:szCs w:val="22"/>
        </w:rPr>
      </w:pPr>
      <w:r w:rsidRPr="00320655">
        <w:rPr>
          <w:rFonts w:ascii="Book Antiqua" w:hAnsi="Book Antiqua"/>
          <w:sz w:val="22"/>
          <w:szCs w:val="22"/>
        </w:rPr>
        <w:t>D.H7 1(a) requires the appeal scheme to “meet an identified need” for this type of scheme (large scale</w:t>
      </w:r>
      <w:r w:rsidR="000F734F">
        <w:rPr>
          <w:rFonts w:ascii="Book Antiqua" w:hAnsi="Book Antiqua"/>
          <w:sz w:val="22"/>
          <w:szCs w:val="22"/>
        </w:rPr>
        <w:t>,</w:t>
      </w:r>
      <w:r w:rsidRPr="00320655">
        <w:rPr>
          <w:rFonts w:ascii="Book Antiqua" w:hAnsi="Book Antiqua"/>
          <w:sz w:val="22"/>
          <w:szCs w:val="22"/>
        </w:rPr>
        <w:t xml:space="preserve"> ‘co-living’, at the Appellant’s rents) in this location.</w:t>
      </w:r>
      <w:r w:rsidRPr="0015400F">
        <w:rPr>
          <w:rStyle w:val="FootnoteReference"/>
          <w:rFonts w:ascii="Book Antiqua" w:hAnsi="Book Antiqua"/>
          <w:sz w:val="22"/>
          <w:szCs w:val="22"/>
        </w:rPr>
        <w:footnoteReference w:id="13"/>
      </w:r>
      <w:r w:rsidRPr="00320655">
        <w:rPr>
          <w:rFonts w:ascii="Book Antiqua" w:hAnsi="Book Antiqua"/>
          <w:sz w:val="22"/>
          <w:szCs w:val="22"/>
        </w:rPr>
        <w:t xml:space="preserve"> </w:t>
      </w:r>
    </w:p>
    <w:p w14:paraId="2DF220D6" w14:textId="77777777" w:rsidR="00320655" w:rsidRPr="00463EA0" w:rsidRDefault="00320655" w:rsidP="00463EA0">
      <w:pPr>
        <w:rPr>
          <w:rFonts w:ascii="Book Antiqua" w:hAnsi="Book Antiqua"/>
          <w:sz w:val="22"/>
          <w:szCs w:val="22"/>
        </w:rPr>
      </w:pPr>
    </w:p>
    <w:p w14:paraId="3CE27135" w14:textId="66DC0BD5" w:rsidR="00320655" w:rsidRPr="00320655" w:rsidRDefault="00320655" w:rsidP="00320655">
      <w:pPr>
        <w:pStyle w:val="ListParagraph"/>
        <w:numPr>
          <w:ilvl w:val="0"/>
          <w:numId w:val="5"/>
        </w:numPr>
        <w:spacing w:line="360" w:lineRule="auto"/>
        <w:jc w:val="both"/>
        <w:rPr>
          <w:rFonts w:ascii="Book Antiqua" w:hAnsi="Book Antiqua"/>
          <w:sz w:val="22"/>
          <w:szCs w:val="22"/>
        </w:rPr>
      </w:pPr>
      <w:r w:rsidRPr="00320655">
        <w:rPr>
          <w:rFonts w:ascii="Book Antiqua" w:hAnsi="Book Antiqua"/>
          <w:sz w:val="22"/>
          <w:szCs w:val="22"/>
        </w:rPr>
        <w:t>The LPA, through Ms Milentijevic, will show that demonstrating an “identified need” in this context is different from demonstrating whether there is a general demand for HMO-style accommodation in Tower Hamlets. If that was all that was required there would be no reason to include this policy criteria in D.H7 since the policy presupposes that a general demand for HMO accommodation exists.</w:t>
      </w:r>
      <w:r w:rsidRPr="00320655">
        <w:rPr>
          <w:rStyle w:val="FootnoteReference"/>
          <w:rFonts w:ascii="Book Antiqua" w:hAnsi="Book Antiqua"/>
          <w:sz w:val="22"/>
          <w:szCs w:val="22"/>
        </w:rPr>
        <w:footnoteReference w:id="14"/>
      </w:r>
    </w:p>
    <w:p w14:paraId="561DD253" w14:textId="77777777" w:rsidR="00320655" w:rsidRPr="00320655" w:rsidRDefault="00320655" w:rsidP="00320655">
      <w:pPr>
        <w:pStyle w:val="ListParagraph"/>
        <w:rPr>
          <w:rFonts w:ascii="Book Antiqua" w:hAnsi="Book Antiqua"/>
          <w:sz w:val="22"/>
          <w:szCs w:val="22"/>
        </w:rPr>
      </w:pPr>
    </w:p>
    <w:p w14:paraId="300EC7AC" w14:textId="2EC7BF17" w:rsidR="00447CAA" w:rsidRDefault="00320655" w:rsidP="00320655">
      <w:pPr>
        <w:pStyle w:val="ListParagraph"/>
        <w:numPr>
          <w:ilvl w:val="0"/>
          <w:numId w:val="5"/>
        </w:numPr>
        <w:spacing w:line="360" w:lineRule="auto"/>
        <w:jc w:val="both"/>
        <w:rPr>
          <w:rFonts w:ascii="Book Antiqua" w:hAnsi="Book Antiqua"/>
          <w:sz w:val="22"/>
          <w:szCs w:val="22"/>
        </w:rPr>
      </w:pPr>
      <w:r w:rsidRPr="00320655">
        <w:rPr>
          <w:rFonts w:ascii="Book Antiqua" w:hAnsi="Book Antiqua"/>
          <w:sz w:val="22"/>
          <w:szCs w:val="22"/>
        </w:rPr>
        <w:lastRenderedPageBreak/>
        <w:t>As the policy and supporting text</w:t>
      </w:r>
      <w:r w:rsidRPr="00320655">
        <w:rPr>
          <w:rStyle w:val="FootnoteReference"/>
          <w:rFonts w:ascii="Book Antiqua" w:hAnsi="Book Antiqua"/>
          <w:sz w:val="22"/>
          <w:szCs w:val="22"/>
        </w:rPr>
        <w:footnoteReference w:id="15"/>
      </w:r>
      <w:r w:rsidRPr="00320655">
        <w:rPr>
          <w:rFonts w:ascii="Book Antiqua" w:hAnsi="Book Antiqua"/>
          <w:sz w:val="22"/>
          <w:szCs w:val="22"/>
        </w:rPr>
        <w:t xml:space="preserve"> spells out, satisfying this criteria </w:t>
      </w:r>
      <w:r w:rsidR="00463EA0">
        <w:rPr>
          <w:rFonts w:ascii="Book Antiqua" w:hAnsi="Book Antiqua"/>
          <w:sz w:val="22"/>
          <w:szCs w:val="22"/>
        </w:rPr>
        <w:t xml:space="preserve">requires a developer to address the </w:t>
      </w:r>
      <w:r w:rsidRPr="000F734F">
        <w:rPr>
          <w:rFonts w:ascii="Book Antiqua" w:hAnsi="Book Antiqua"/>
          <w:sz w:val="22"/>
          <w:szCs w:val="22"/>
          <w:u w:val="single"/>
        </w:rPr>
        <w:t>specific</w:t>
      </w:r>
      <w:r w:rsidR="00463EA0" w:rsidRPr="000F734F">
        <w:rPr>
          <w:rFonts w:ascii="Book Antiqua" w:hAnsi="Book Antiqua"/>
          <w:sz w:val="22"/>
          <w:szCs w:val="22"/>
          <w:u w:val="single"/>
        </w:rPr>
        <w:t xml:space="preserve"> type</w:t>
      </w:r>
      <w:r w:rsidR="00463EA0">
        <w:rPr>
          <w:rFonts w:ascii="Book Antiqua" w:hAnsi="Book Antiqua"/>
          <w:sz w:val="22"/>
          <w:szCs w:val="22"/>
        </w:rPr>
        <w:t xml:space="preserve"> </w:t>
      </w:r>
      <w:r w:rsidR="007F275B">
        <w:rPr>
          <w:rFonts w:ascii="Book Antiqua" w:hAnsi="Book Antiqua"/>
          <w:sz w:val="22"/>
          <w:szCs w:val="22"/>
        </w:rPr>
        <w:t>of</w:t>
      </w:r>
      <w:r w:rsidR="00463EA0">
        <w:rPr>
          <w:rFonts w:ascii="Book Antiqua" w:hAnsi="Book Antiqua"/>
          <w:sz w:val="22"/>
          <w:szCs w:val="22"/>
        </w:rPr>
        <w:t xml:space="preserve"> HMO</w:t>
      </w:r>
      <w:r w:rsidRPr="00320655">
        <w:rPr>
          <w:rFonts w:ascii="Book Antiqua" w:hAnsi="Book Antiqua"/>
          <w:sz w:val="22"/>
          <w:szCs w:val="22"/>
        </w:rPr>
        <w:t xml:space="preserve"> scheme and </w:t>
      </w:r>
      <w:r w:rsidRPr="000F734F">
        <w:rPr>
          <w:rFonts w:ascii="Book Antiqua" w:hAnsi="Book Antiqua"/>
          <w:sz w:val="22"/>
          <w:szCs w:val="22"/>
          <w:u w:val="single"/>
        </w:rPr>
        <w:t>location</w:t>
      </w:r>
      <w:r w:rsidRPr="00320655">
        <w:rPr>
          <w:rFonts w:ascii="Book Antiqua" w:hAnsi="Book Antiqua"/>
          <w:sz w:val="22"/>
          <w:szCs w:val="22"/>
        </w:rPr>
        <w:t xml:space="preserve">. </w:t>
      </w:r>
      <w:r w:rsidR="00463EA0">
        <w:rPr>
          <w:rFonts w:ascii="Book Antiqua" w:hAnsi="Book Antiqua"/>
          <w:sz w:val="22"/>
          <w:szCs w:val="22"/>
        </w:rPr>
        <w:t xml:space="preserve">It will need to </w:t>
      </w:r>
      <w:r w:rsidRPr="00320655">
        <w:rPr>
          <w:rFonts w:ascii="Book Antiqua" w:hAnsi="Book Antiqua"/>
          <w:sz w:val="22"/>
          <w:szCs w:val="22"/>
        </w:rPr>
        <w:t>address the nature of its particular scheme and who i</w:t>
      </w:r>
      <w:r w:rsidR="00463EA0">
        <w:rPr>
          <w:rFonts w:ascii="Book Antiqua" w:hAnsi="Book Antiqua"/>
          <w:sz w:val="22"/>
          <w:szCs w:val="22"/>
        </w:rPr>
        <w:t xml:space="preserve">t is </w:t>
      </w:r>
      <w:r w:rsidRPr="00320655">
        <w:rPr>
          <w:rFonts w:ascii="Book Antiqua" w:hAnsi="Book Antiqua"/>
          <w:sz w:val="22"/>
          <w:szCs w:val="22"/>
        </w:rPr>
        <w:t xml:space="preserve">for, </w:t>
      </w:r>
      <w:r w:rsidR="00BD7727">
        <w:rPr>
          <w:rFonts w:ascii="Book Antiqua" w:hAnsi="Book Antiqua"/>
          <w:sz w:val="22"/>
          <w:szCs w:val="22"/>
        </w:rPr>
        <w:t xml:space="preserve">the rents charged, who locally might need this type of scheme </w:t>
      </w:r>
      <w:r w:rsidRPr="00320655">
        <w:rPr>
          <w:rFonts w:ascii="Book Antiqua" w:hAnsi="Book Antiqua"/>
          <w:sz w:val="22"/>
          <w:szCs w:val="22"/>
        </w:rPr>
        <w:t xml:space="preserve">and whether other developments </w:t>
      </w:r>
      <w:r w:rsidR="00463EA0">
        <w:rPr>
          <w:rFonts w:ascii="Book Antiqua" w:hAnsi="Book Antiqua"/>
          <w:sz w:val="22"/>
          <w:szCs w:val="22"/>
        </w:rPr>
        <w:t>already existin</w:t>
      </w:r>
      <w:r w:rsidR="002A5E03">
        <w:rPr>
          <w:rFonts w:ascii="Book Antiqua" w:hAnsi="Book Antiqua"/>
          <w:sz w:val="22"/>
          <w:szCs w:val="22"/>
        </w:rPr>
        <w:t>g</w:t>
      </w:r>
      <w:r w:rsidR="00463EA0">
        <w:rPr>
          <w:rFonts w:ascii="Book Antiqua" w:hAnsi="Book Antiqua"/>
          <w:sz w:val="22"/>
          <w:szCs w:val="22"/>
        </w:rPr>
        <w:t xml:space="preserve"> </w:t>
      </w:r>
      <w:r w:rsidRPr="00320655">
        <w:rPr>
          <w:rFonts w:ascii="Book Antiqua" w:hAnsi="Book Antiqua"/>
          <w:sz w:val="22"/>
          <w:szCs w:val="22"/>
        </w:rPr>
        <w:t xml:space="preserve">in the same location </w:t>
      </w:r>
      <w:r w:rsidR="00463EA0">
        <w:rPr>
          <w:rFonts w:ascii="Book Antiqua" w:hAnsi="Book Antiqua"/>
          <w:sz w:val="22"/>
          <w:szCs w:val="22"/>
        </w:rPr>
        <w:t>which are</w:t>
      </w:r>
      <w:r w:rsidRPr="00320655">
        <w:rPr>
          <w:rFonts w:ascii="Book Antiqua" w:hAnsi="Book Antiqua"/>
          <w:sz w:val="22"/>
          <w:szCs w:val="22"/>
        </w:rPr>
        <w:t xml:space="preserve"> meeting that need. </w:t>
      </w:r>
    </w:p>
    <w:p w14:paraId="17DFAE7A" w14:textId="77777777" w:rsidR="002A5E03" w:rsidRPr="002A5E03" w:rsidRDefault="002A5E03" w:rsidP="002A5E03">
      <w:pPr>
        <w:pStyle w:val="ListParagraph"/>
        <w:rPr>
          <w:rFonts w:ascii="Book Antiqua" w:hAnsi="Book Antiqua"/>
          <w:sz w:val="22"/>
          <w:szCs w:val="22"/>
        </w:rPr>
      </w:pPr>
    </w:p>
    <w:p w14:paraId="420EE973" w14:textId="77777777" w:rsidR="00447CAA" w:rsidRPr="00447CAA" w:rsidRDefault="00447CAA" w:rsidP="00447CAA">
      <w:pPr>
        <w:pStyle w:val="ListParagraph"/>
        <w:rPr>
          <w:rFonts w:ascii="Book Antiqua" w:hAnsi="Book Antiqua"/>
          <w:sz w:val="22"/>
          <w:szCs w:val="22"/>
        </w:rPr>
      </w:pPr>
    </w:p>
    <w:p w14:paraId="511A8C59" w14:textId="6120FC5C" w:rsidR="00320655" w:rsidRPr="00320655" w:rsidRDefault="00320655" w:rsidP="00320655">
      <w:pPr>
        <w:pStyle w:val="ListParagraph"/>
        <w:numPr>
          <w:ilvl w:val="0"/>
          <w:numId w:val="5"/>
        </w:numPr>
        <w:spacing w:line="360" w:lineRule="auto"/>
        <w:jc w:val="both"/>
        <w:rPr>
          <w:rFonts w:ascii="Book Antiqua" w:hAnsi="Book Antiqua"/>
          <w:sz w:val="22"/>
          <w:szCs w:val="22"/>
        </w:rPr>
      </w:pPr>
      <w:r w:rsidRPr="00320655">
        <w:rPr>
          <w:rFonts w:ascii="Book Antiqua" w:hAnsi="Book Antiqua"/>
          <w:sz w:val="22"/>
          <w:szCs w:val="22"/>
        </w:rPr>
        <w:t>The LPA’s case is that the Appellant has</w:t>
      </w:r>
      <w:r w:rsidR="00447CAA">
        <w:rPr>
          <w:rFonts w:ascii="Book Antiqua" w:hAnsi="Book Antiqua"/>
          <w:sz w:val="22"/>
          <w:szCs w:val="22"/>
        </w:rPr>
        <w:t xml:space="preserve"> </w:t>
      </w:r>
      <w:r w:rsidR="00463EA0">
        <w:rPr>
          <w:rFonts w:ascii="Book Antiqua" w:hAnsi="Book Antiqua"/>
          <w:sz w:val="22"/>
          <w:szCs w:val="22"/>
        </w:rPr>
        <w:t xml:space="preserve">not </w:t>
      </w:r>
      <w:r w:rsidR="008B01EA">
        <w:rPr>
          <w:rFonts w:ascii="Book Antiqua" w:hAnsi="Book Antiqua"/>
          <w:sz w:val="22"/>
          <w:szCs w:val="22"/>
        </w:rPr>
        <w:t xml:space="preserve">satisfactorily shown that </w:t>
      </w:r>
      <w:r w:rsidRPr="00320655">
        <w:rPr>
          <w:rFonts w:ascii="Book Antiqua" w:hAnsi="Book Antiqua"/>
          <w:sz w:val="22"/>
          <w:szCs w:val="22"/>
        </w:rPr>
        <w:t>its scheme meets an identified need.</w:t>
      </w:r>
    </w:p>
    <w:p w14:paraId="53C77631" w14:textId="77777777" w:rsidR="00126E2A" w:rsidRPr="00C72883" w:rsidRDefault="00126E2A" w:rsidP="00C72883">
      <w:pPr>
        <w:rPr>
          <w:rFonts w:ascii="Book Antiqua" w:hAnsi="Book Antiqua"/>
          <w:sz w:val="22"/>
          <w:szCs w:val="22"/>
        </w:rPr>
      </w:pPr>
    </w:p>
    <w:p w14:paraId="00A4F7EA" w14:textId="1F34C8EC" w:rsidR="00126E2A" w:rsidRPr="00126E2A" w:rsidRDefault="00017AFA" w:rsidP="00126E2A">
      <w:pPr>
        <w:spacing w:line="360" w:lineRule="auto"/>
        <w:jc w:val="both"/>
        <w:rPr>
          <w:rFonts w:ascii="Book Antiqua" w:hAnsi="Book Antiqua"/>
          <w:sz w:val="22"/>
          <w:szCs w:val="22"/>
        </w:rPr>
      </w:pPr>
      <w:r>
        <w:rPr>
          <w:rFonts w:ascii="Book Antiqua" w:hAnsi="Book Antiqua"/>
          <w:i/>
          <w:sz w:val="22"/>
          <w:szCs w:val="22"/>
        </w:rPr>
        <w:t xml:space="preserve">Does the appeal scheme satisfy </w:t>
      </w:r>
      <w:r w:rsidR="00126E2A" w:rsidRPr="00017AFA">
        <w:rPr>
          <w:rFonts w:ascii="Book Antiqua" w:hAnsi="Book Antiqua"/>
          <w:i/>
          <w:sz w:val="22"/>
          <w:szCs w:val="22"/>
        </w:rPr>
        <w:t>D.H7 1(c)</w:t>
      </w:r>
      <w:r>
        <w:rPr>
          <w:rFonts w:ascii="Book Antiqua" w:hAnsi="Book Antiqua"/>
          <w:i/>
          <w:sz w:val="22"/>
          <w:szCs w:val="22"/>
        </w:rPr>
        <w:t>?</w:t>
      </w:r>
    </w:p>
    <w:p w14:paraId="369859C6" w14:textId="77777777" w:rsidR="001C01EE" w:rsidRPr="0015400F" w:rsidRDefault="001C01EE" w:rsidP="0015400F">
      <w:pPr>
        <w:pStyle w:val="ListParagraph"/>
        <w:spacing w:line="360" w:lineRule="auto"/>
        <w:jc w:val="both"/>
        <w:rPr>
          <w:rFonts w:ascii="Book Antiqua" w:hAnsi="Book Antiqua"/>
          <w:sz w:val="22"/>
          <w:szCs w:val="22"/>
        </w:rPr>
      </w:pPr>
    </w:p>
    <w:p w14:paraId="0DB8C412" w14:textId="448527DD" w:rsidR="001C01EE" w:rsidRPr="0015400F" w:rsidRDefault="00CA6935" w:rsidP="00320655">
      <w:pPr>
        <w:pStyle w:val="ListParagraph"/>
        <w:numPr>
          <w:ilvl w:val="0"/>
          <w:numId w:val="5"/>
        </w:numPr>
        <w:spacing w:line="360" w:lineRule="auto"/>
        <w:jc w:val="both"/>
        <w:rPr>
          <w:rFonts w:ascii="Book Antiqua" w:hAnsi="Book Antiqua"/>
          <w:sz w:val="22"/>
          <w:szCs w:val="22"/>
        </w:rPr>
      </w:pPr>
      <w:r w:rsidRPr="0015400F">
        <w:rPr>
          <w:rFonts w:ascii="Book Antiqua" w:hAnsi="Book Antiqua"/>
          <w:sz w:val="22"/>
          <w:szCs w:val="22"/>
        </w:rPr>
        <w:t xml:space="preserve">Policy </w:t>
      </w:r>
      <w:r w:rsidR="001C01EE" w:rsidRPr="0015400F">
        <w:rPr>
          <w:rFonts w:ascii="Book Antiqua" w:hAnsi="Book Antiqua"/>
          <w:sz w:val="22"/>
          <w:szCs w:val="22"/>
        </w:rPr>
        <w:t>D.H7 1(c)</w:t>
      </w:r>
      <w:r w:rsidR="00B94225" w:rsidRPr="0015400F">
        <w:rPr>
          <w:rFonts w:ascii="Book Antiqua" w:hAnsi="Book Antiqua"/>
          <w:sz w:val="22"/>
          <w:szCs w:val="22"/>
        </w:rPr>
        <w:t xml:space="preserve"> </w:t>
      </w:r>
      <w:r w:rsidR="001C01EE" w:rsidRPr="0015400F">
        <w:rPr>
          <w:rFonts w:ascii="Book Antiqua" w:hAnsi="Book Antiqua"/>
          <w:sz w:val="22"/>
          <w:szCs w:val="22"/>
        </w:rPr>
        <w:t xml:space="preserve">expects </w:t>
      </w:r>
      <w:r w:rsidR="00DD28C8" w:rsidRPr="0015400F">
        <w:rPr>
          <w:rFonts w:ascii="Book Antiqua" w:hAnsi="Book Antiqua"/>
          <w:sz w:val="22"/>
          <w:szCs w:val="22"/>
        </w:rPr>
        <w:t xml:space="preserve">HMO </w:t>
      </w:r>
      <w:r w:rsidR="001C01EE" w:rsidRPr="0015400F">
        <w:rPr>
          <w:rFonts w:ascii="Book Antiqua" w:hAnsi="Book Antiqua"/>
          <w:sz w:val="22"/>
          <w:szCs w:val="22"/>
        </w:rPr>
        <w:t>scheme</w:t>
      </w:r>
      <w:r w:rsidR="00DD28C8" w:rsidRPr="0015400F">
        <w:rPr>
          <w:rFonts w:ascii="Book Antiqua" w:hAnsi="Book Antiqua"/>
          <w:sz w:val="22"/>
          <w:szCs w:val="22"/>
        </w:rPr>
        <w:t>s</w:t>
      </w:r>
      <w:r w:rsidR="001C01EE" w:rsidRPr="0015400F">
        <w:rPr>
          <w:rFonts w:ascii="Book Antiqua" w:hAnsi="Book Antiqua"/>
          <w:sz w:val="22"/>
          <w:szCs w:val="22"/>
        </w:rPr>
        <w:t xml:space="preserve"> </w:t>
      </w:r>
      <w:r w:rsidR="00B94225" w:rsidRPr="0015400F">
        <w:rPr>
          <w:rFonts w:ascii="Book Antiqua" w:hAnsi="Book Antiqua"/>
          <w:sz w:val="22"/>
          <w:szCs w:val="22"/>
        </w:rPr>
        <w:t xml:space="preserve">to </w:t>
      </w:r>
      <w:r w:rsidRPr="0015400F">
        <w:rPr>
          <w:rFonts w:ascii="Book Antiqua" w:hAnsi="Book Antiqua"/>
          <w:sz w:val="22"/>
          <w:szCs w:val="22"/>
        </w:rPr>
        <w:t>either secure</w:t>
      </w:r>
      <w:r w:rsidR="001C01EE" w:rsidRPr="0015400F">
        <w:rPr>
          <w:rFonts w:ascii="Book Antiqua" w:hAnsi="Book Antiqua"/>
          <w:sz w:val="22"/>
          <w:szCs w:val="22"/>
        </w:rPr>
        <w:t xml:space="preserve"> a long term addition to </w:t>
      </w:r>
      <w:r w:rsidRPr="0015400F">
        <w:rPr>
          <w:rFonts w:ascii="Book Antiqua" w:hAnsi="Book Antiqua"/>
          <w:sz w:val="22"/>
          <w:szCs w:val="22"/>
        </w:rPr>
        <w:t>“</w:t>
      </w:r>
      <w:r w:rsidR="001C01EE" w:rsidRPr="0015400F">
        <w:rPr>
          <w:rFonts w:ascii="Book Antiqua" w:hAnsi="Book Antiqua"/>
          <w:sz w:val="22"/>
          <w:szCs w:val="22"/>
        </w:rPr>
        <w:t>low cost housing</w:t>
      </w:r>
      <w:r w:rsidRPr="0015400F">
        <w:rPr>
          <w:rFonts w:ascii="Book Antiqua" w:hAnsi="Book Antiqua"/>
          <w:sz w:val="22"/>
          <w:szCs w:val="22"/>
        </w:rPr>
        <w:t>” – defined as housing a</w:t>
      </w:r>
      <w:r w:rsidR="002A5E03">
        <w:rPr>
          <w:rFonts w:ascii="Book Antiqua" w:hAnsi="Book Antiqua"/>
          <w:sz w:val="22"/>
          <w:szCs w:val="22"/>
        </w:rPr>
        <w:t>ttainable</w:t>
      </w:r>
      <w:r w:rsidRPr="0015400F">
        <w:rPr>
          <w:rFonts w:ascii="Book Antiqua" w:hAnsi="Book Antiqua"/>
          <w:sz w:val="22"/>
          <w:szCs w:val="22"/>
        </w:rPr>
        <w:t xml:space="preserve"> to people on </w:t>
      </w:r>
      <w:r w:rsidR="00780B68" w:rsidRPr="0015400F">
        <w:rPr>
          <w:rFonts w:ascii="Book Antiqua" w:hAnsi="Book Antiqua"/>
          <w:sz w:val="22"/>
          <w:szCs w:val="22"/>
        </w:rPr>
        <w:t>“</w:t>
      </w:r>
      <w:r w:rsidRPr="0015400F">
        <w:rPr>
          <w:rFonts w:ascii="Book Antiqua" w:hAnsi="Book Antiqua"/>
          <w:sz w:val="22"/>
          <w:szCs w:val="22"/>
        </w:rPr>
        <w:t>low incomes”</w:t>
      </w:r>
      <w:r w:rsidR="00780B68" w:rsidRPr="0015400F">
        <w:rPr>
          <w:rStyle w:val="FootnoteReference"/>
          <w:rFonts w:ascii="Book Antiqua" w:hAnsi="Book Antiqua"/>
          <w:sz w:val="22"/>
          <w:szCs w:val="22"/>
        </w:rPr>
        <w:footnoteReference w:id="16"/>
      </w:r>
      <w:r w:rsidRPr="0015400F">
        <w:rPr>
          <w:rFonts w:ascii="Book Antiqua" w:hAnsi="Book Antiqua"/>
          <w:sz w:val="22"/>
          <w:szCs w:val="22"/>
        </w:rPr>
        <w:t xml:space="preserve"> – and </w:t>
      </w:r>
      <w:r w:rsidR="00B94225" w:rsidRPr="0015400F">
        <w:rPr>
          <w:rFonts w:ascii="Book Antiqua" w:hAnsi="Book Antiqua"/>
          <w:sz w:val="22"/>
          <w:szCs w:val="22"/>
        </w:rPr>
        <w:t xml:space="preserve">if a scheme does not </w:t>
      </w:r>
      <w:r w:rsidR="001C01EE" w:rsidRPr="0015400F">
        <w:rPr>
          <w:rFonts w:ascii="Book Antiqua" w:hAnsi="Book Antiqua"/>
          <w:sz w:val="22"/>
          <w:szCs w:val="22"/>
        </w:rPr>
        <w:t xml:space="preserve">provide </w:t>
      </w:r>
      <w:r w:rsidRPr="0015400F">
        <w:rPr>
          <w:rFonts w:ascii="Book Antiqua" w:hAnsi="Book Antiqua"/>
          <w:sz w:val="22"/>
          <w:szCs w:val="22"/>
        </w:rPr>
        <w:t>“</w:t>
      </w:r>
      <w:r w:rsidR="001C01EE" w:rsidRPr="0015400F">
        <w:rPr>
          <w:rFonts w:ascii="Book Antiqua" w:hAnsi="Book Antiqua"/>
          <w:sz w:val="22"/>
          <w:szCs w:val="22"/>
        </w:rPr>
        <w:t>low cost housing</w:t>
      </w:r>
      <w:r w:rsidRPr="0015400F">
        <w:rPr>
          <w:rFonts w:ascii="Book Antiqua" w:hAnsi="Book Antiqua"/>
          <w:sz w:val="22"/>
          <w:szCs w:val="22"/>
        </w:rPr>
        <w:t xml:space="preserve">” </w:t>
      </w:r>
      <w:r w:rsidR="001C01EE" w:rsidRPr="0015400F">
        <w:rPr>
          <w:rFonts w:ascii="Book Antiqua" w:hAnsi="Book Antiqua"/>
          <w:sz w:val="22"/>
          <w:szCs w:val="22"/>
        </w:rPr>
        <w:t>then it</w:t>
      </w:r>
      <w:r w:rsidRPr="0015400F">
        <w:rPr>
          <w:rFonts w:ascii="Book Antiqua" w:hAnsi="Book Antiqua"/>
          <w:sz w:val="22"/>
          <w:szCs w:val="22"/>
        </w:rPr>
        <w:t xml:space="preserve"> is expected to make an</w:t>
      </w:r>
      <w:r w:rsidR="001C01EE" w:rsidRPr="0015400F">
        <w:rPr>
          <w:rFonts w:ascii="Book Antiqua" w:hAnsi="Book Antiqua"/>
          <w:sz w:val="22"/>
          <w:szCs w:val="22"/>
        </w:rPr>
        <w:t xml:space="preserve"> appropriate contribution to affordable housing. </w:t>
      </w:r>
      <w:r w:rsidR="00281266">
        <w:rPr>
          <w:rFonts w:ascii="Book Antiqua" w:hAnsi="Book Antiqua"/>
          <w:sz w:val="22"/>
          <w:szCs w:val="22"/>
        </w:rPr>
        <w:t xml:space="preserve">This raises three issues: </w:t>
      </w:r>
    </w:p>
    <w:p w14:paraId="0B658F81" w14:textId="77777777" w:rsidR="00B94225" w:rsidRPr="00281266" w:rsidRDefault="00B94225" w:rsidP="00281266">
      <w:pPr>
        <w:spacing w:line="360" w:lineRule="auto"/>
        <w:rPr>
          <w:rFonts w:ascii="Book Antiqua" w:hAnsi="Book Antiqua"/>
          <w:sz w:val="22"/>
          <w:szCs w:val="22"/>
        </w:rPr>
      </w:pPr>
    </w:p>
    <w:p w14:paraId="3F04E3A1" w14:textId="4576552E" w:rsidR="00281266" w:rsidRDefault="00281266" w:rsidP="002F3AB4">
      <w:pPr>
        <w:pStyle w:val="ListParagraph"/>
        <w:numPr>
          <w:ilvl w:val="0"/>
          <w:numId w:val="20"/>
        </w:numPr>
        <w:spacing w:line="360" w:lineRule="auto"/>
        <w:jc w:val="both"/>
        <w:rPr>
          <w:rFonts w:ascii="Book Antiqua" w:hAnsi="Book Antiqua"/>
          <w:sz w:val="22"/>
          <w:szCs w:val="22"/>
        </w:rPr>
      </w:pPr>
      <w:r>
        <w:rPr>
          <w:rFonts w:ascii="Book Antiqua" w:hAnsi="Book Antiqua"/>
          <w:sz w:val="22"/>
          <w:szCs w:val="22"/>
        </w:rPr>
        <w:t>I</w:t>
      </w:r>
      <w:r w:rsidR="00B94225" w:rsidRPr="00281266">
        <w:rPr>
          <w:rFonts w:ascii="Book Antiqua" w:hAnsi="Book Antiqua"/>
          <w:sz w:val="22"/>
          <w:szCs w:val="22"/>
        </w:rPr>
        <w:t>s the appeal scheme a scheme for “low cost housing”?</w:t>
      </w:r>
    </w:p>
    <w:p w14:paraId="67AE9116" w14:textId="77777777" w:rsidR="002F3AB4" w:rsidRPr="002F3AB4" w:rsidRDefault="002F3AB4" w:rsidP="002F3AB4">
      <w:pPr>
        <w:pStyle w:val="ListParagraph"/>
        <w:spacing w:line="360" w:lineRule="auto"/>
        <w:ind w:left="2160"/>
        <w:jc w:val="both"/>
        <w:rPr>
          <w:rFonts w:ascii="Book Antiqua" w:hAnsi="Book Antiqua"/>
          <w:sz w:val="22"/>
          <w:szCs w:val="22"/>
        </w:rPr>
      </w:pPr>
    </w:p>
    <w:p w14:paraId="471ECCEC" w14:textId="16CC41CB" w:rsidR="00A626FC" w:rsidRDefault="00281266" w:rsidP="0015400F">
      <w:pPr>
        <w:pStyle w:val="ListParagraph"/>
        <w:numPr>
          <w:ilvl w:val="0"/>
          <w:numId w:val="20"/>
        </w:numPr>
        <w:spacing w:line="360" w:lineRule="auto"/>
        <w:jc w:val="both"/>
        <w:rPr>
          <w:rFonts w:ascii="Book Antiqua" w:hAnsi="Book Antiqua"/>
          <w:sz w:val="22"/>
          <w:szCs w:val="22"/>
        </w:rPr>
      </w:pPr>
      <w:r w:rsidRPr="00281266">
        <w:rPr>
          <w:rFonts w:ascii="Book Antiqua" w:hAnsi="Book Antiqua"/>
          <w:sz w:val="22"/>
          <w:szCs w:val="22"/>
        </w:rPr>
        <w:t>I</w:t>
      </w:r>
      <w:r w:rsidR="00B94225" w:rsidRPr="00281266">
        <w:rPr>
          <w:rFonts w:ascii="Book Antiqua" w:hAnsi="Book Antiqua"/>
          <w:sz w:val="22"/>
          <w:szCs w:val="22"/>
        </w:rPr>
        <w:t>f it is, is th</w:t>
      </w:r>
      <w:r w:rsidRPr="00281266">
        <w:rPr>
          <w:rFonts w:ascii="Book Antiqua" w:hAnsi="Book Antiqua"/>
          <w:sz w:val="22"/>
          <w:szCs w:val="22"/>
        </w:rPr>
        <w:t>e</w:t>
      </w:r>
      <w:r w:rsidR="00B94225" w:rsidRPr="00281266">
        <w:rPr>
          <w:rFonts w:ascii="Book Antiqua" w:hAnsi="Book Antiqua"/>
          <w:sz w:val="22"/>
          <w:szCs w:val="22"/>
        </w:rPr>
        <w:t xml:space="preserve"> </w:t>
      </w:r>
      <w:r w:rsidR="00A626FC" w:rsidRPr="00281266">
        <w:rPr>
          <w:rFonts w:ascii="Book Antiqua" w:hAnsi="Book Antiqua"/>
          <w:sz w:val="22"/>
          <w:szCs w:val="22"/>
        </w:rPr>
        <w:t>“low cost housing” secured</w:t>
      </w:r>
      <w:r w:rsidRPr="00281266">
        <w:rPr>
          <w:rFonts w:ascii="Book Antiqua" w:hAnsi="Book Antiqua"/>
          <w:sz w:val="22"/>
          <w:szCs w:val="22"/>
        </w:rPr>
        <w:t xml:space="preserve">? </w:t>
      </w:r>
    </w:p>
    <w:p w14:paraId="15F9F73D" w14:textId="77777777" w:rsidR="00281266" w:rsidRPr="00281266" w:rsidRDefault="00281266" w:rsidP="00281266">
      <w:pPr>
        <w:pStyle w:val="ListParagraph"/>
        <w:rPr>
          <w:rFonts w:ascii="Book Antiqua" w:hAnsi="Book Antiqua"/>
          <w:sz w:val="22"/>
          <w:szCs w:val="22"/>
        </w:rPr>
      </w:pPr>
    </w:p>
    <w:p w14:paraId="1C24B41F" w14:textId="3FFAA947" w:rsidR="00A626FC" w:rsidRPr="00281266" w:rsidRDefault="00A626FC" w:rsidP="00281266">
      <w:pPr>
        <w:pStyle w:val="ListParagraph"/>
        <w:numPr>
          <w:ilvl w:val="0"/>
          <w:numId w:val="20"/>
        </w:numPr>
        <w:spacing w:line="360" w:lineRule="auto"/>
        <w:jc w:val="both"/>
        <w:rPr>
          <w:rFonts w:ascii="Book Antiqua" w:hAnsi="Book Antiqua"/>
          <w:sz w:val="22"/>
          <w:szCs w:val="22"/>
        </w:rPr>
      </w:pPr>
      <w:r w:rsidRPr="00281266">
        <w:rPr>
          <w:rFonts w:ascii="Book Antiqua" w:hAnsi="Book Antiqua"/>
          <w:sz w:val="22"/>
          <w:szCs w:val="22"/>
        </w:rPr>
        <w:t xml:space="preserve">if it is not a </w:t>
      </w:r>
      <w:r w:rsidR="002A5E03">
        <w:rPr>
          <w:rFonts w:ascii="Book Antiqua" w:hAnsi="Book Antiqua"/>
          <w:sz w:val="22"/>
          <w:szCs w:val="22"/>
        </w:rPr>
        <w:t xml:space="preserve">secured </w:t>
      </w:r>
      <w:r w:rsidRPr="00281266">
        <w:rPr>
          <w:rFonts w:ascii="Book Antiqua" w:hAnsi="Book Antiqua"/>
          <w:sz w:val="22"/>
          <w:szCs w:val="22"/>
        </w:rPr>
        <w:t xml:space="preserve">“low cost housing” </w:t>
      </w:r>
      <w:r w:rsidR="00281266">
        <w:rPr>
          <w:rFonts w:ascii="Book Antiqua" w:hAnsi="Book Antiqua"/>
          <w:sz w:val="22"/>
          <w:szCs w:val="22"/>
        </w:rPr>
        <w:t>scheme</w:t>
      </w:r>
      <w:r w:rsidR="00BD7727">
        <w:rPr>
          <w:rFonts w:ascii="Book Antiqua" w:hAnsi="Book Antiqua"/>
          <w:sz w:val="22"/>
          <w:szCs w:val="22"/>
        </w:rPr>
        <w:t>,</w:t>
      </w:r>
      <w:r w:rsidR="00281266">
        <w:rPr>
          <w:rFonts w:ascii="Book Antiqua" w:hAnsi="Book Antiqua"/>
          <w:sz w:val="22"/>
          <w:szCs w:val="22"/>
        </w:rPr>
        <w:t xml:space="preserve"> </w:t>
      </w:r>
      <w:r w:rsidRPr="00281266">
        <w:rPr>
          <w:rFonts w:ascii="Book Antiqua" w:hAnsi="Book Antiqua"/>
          <w:sz w:val="22"/>
          <w:szCs w:val="22"/>
        </w:rPr>
        <w:t xml:space="preserve">does the appeal scheme </w:t>
      </w:r>
      <w:r w:rsidR="00281266">
        <w:rPr>
          <w:rFonts w:ascii="Book Antiqua" w:hAnsi="Book Antiqua"/>
          <w:sz w:val="22"/>
          <w:szCs w:val="22"/>
        </w:rPr>
        <w:t xml:space="preserve">nevertheless </w:t>
      </w:r>
      <w:r w:rsidRPr="00281266">
        <w:rPr>
          <w:rFonts w:ascii="Book Antiqua" w:hAnsi="Book Antiqua"/>
          <w:sz w:val="22"/>
          <w:szCs w:val="22"/>
        </w:rPr>
        <w:t xml:space="preserve">provide an appropriate amount of affordable housing? </w:t>
      </w:r>
      <w:r w:rsidR="00780B68" w:rsidRPr="00281266">
        <w:rPr>
          <w:rFonts w:ascii="Book Antiqua" w:hAnsi="Book Antiqua"/>
          <w:sz w:val="22"/>
          <w:szCs w:val="22"/>
        </w:rPr>
        <w:t xml:space="preserve"> </w:t>
      </w:r>
    </w:p>
    <w:p w14:paraId="3876F56A" w14:textId="3E633287" w:rsidR="00B94225" w:rsidRPr="00281266" w:rsidRDefault="00B94225" w:rsidP="00281266">
      <w:pPr>
        <w:spacing w:line="360" w:lineRule="auto"/>
        <w:rPr>
          <w:rFonts w:ascii="Book Antiqua" w:hAnsi="Book Antiqua"/>
          <w:sz w:val="22"/>
          <w:szCs w:val="22"/>
        </w:rPr>
      </w:pPr>
    </w:p>
    <w:p w14:paraId="267001CE" w14:textId="7E5DE7B8" w:rsidR="00A626FC" w:rsidRPr="0015400F" w:rsidRDefault="00A626FC" w:rsidP="0015400F">
      <w:pPr>
        <w:spacing w:line="360" w:lineRule="auto"/>
        <w:rPr>
          <w:rFonts w:ascii="Book Antiqua" w:hAnsi="Book Antiqua"/>
          <w:i/>
          <w:sz w:val="22"/>
          <w:szCs w:val="22"/>
        </w:rPr>
      </w:pPr>
      <w:r w:rsidRPr="0015400F">
        <w:rPr>
          <w:rFonts w:ascii="Book Antiqua" w:hAnsi="Book Antiqua"/>
          <w:i/>
          <w:sz w:val="22"/>
          <w:szCs w:val="22"/>
        </w:rPr>
        <w:t xml:space="preserve">Is the appeal scheme </w:t>
      </w:r>
      <w:r w:rsidR="00281266">
        <w:rPr>
          <w:rFonts w:ascii="Book Antiqua" w:hAnsi="Book Antiqua"/>
          <w:i/>
          <w:sz w:val="22"/>
          <w:szCs w:val="22"/>
        </w:rPr>
        <w:t>“</w:t>
      </w:r>
      <w:r w:rsidRPr="0015400F">
        <w:rPr>
          <w:rFonts w:ascii="Book Antiqua" w:hAnsi="Book Antiqua"/>
          <w:i/>
          <w:sz w:val="22"/>
          <w:szCs w:val="22"/>
        </w:rPr>
        <w:t>low cost housing</w:t>
      </w:r>
      <w:r w:rsidR="00281266">
        <w:rPr>
          <w:rFonts w:ascii="Book Antiqua" w:hAnsi="Book Antiqua"/>
          <w:i/>
          <w:sz w:val="22"/>
          <w:szCs w:val="22"/>
        </w:rPr>
        <w:t>”</w:t>
      </w:r>
      <w:r w:rsidRPr="0015400F">
        <w:rPr>
          <w:rFonts w:ascii="Book Antiqua" w:hAnsi="Book Antiqua"/>
          <w:i/>
          <w:sz w:val="22"/>
          <w:szCs w:val="22"/>
        </w:rPr>
        <w:t>?</w:t>
      </w:r>
    </w:p>
    <w:p w14:paraId="7E964D7D" w14:textId="77777777" w:rsidR="00A626FC" w:rsidRPr="0015400F" w:rsidRDefault="00A626FC" w:rsidP="0015400F">
      <w:pPr>
        <w:spacing w:line="360" w:lineRule="auto"/>
        <w:rPr>
          <w:rFonts w:ascii="Book Antiqua" w:hAnsi="Book Antiqua"/>
          <w:sz w:val="22"/>
          <w:szCs w:val="22"/>
        </w:rPr>
      </w:pPr>
    </w:p>
    <w:p w14:paraId="7CE4CF40" w14:textId="2B03599C" w:rsidR="00A626FC" w:rsidRDefault="00A626FC" w:rsidP="00320655">
      <w:pPr>
        <w:pStyle w:val="ListParagraph"/>
        <w:numPr>
          <w:ilvl w:val="0"/>
          <w:numId w:val="5"/>
        </w:numPr>
        <w:spacing w:line="360" w:lineRule="auto"/>
        <w:jc w:val="both"/>
        <w:rPr>
          <w:rFonts w:ascii="Book Antiqua" w:hAnsi="Book Antiqua"/>
          <w:sz w:val="22"/>
          <w:szCs w:val="22"/>
        </w:rPr>
      </w:pPr>
      <w:r w:rsidRPr="00281266">
        <w:rPr>
          <w:rFonts w:ascii="Book Antiqua" w:hAnsi="Book Antiqua"/>
          <w:sz w:val="22"/>
          <w:szCs w:val="22"/>
        </w:rPr>
        <w:t>The</w:t>
      </w:r>
      <w:r w:rsidR="00D128B9" w:rsidRPr="00281266">
        <w:rPr>
          <w:rFonts w:ascii="Book Antiqua" w:hAnsi="Book Antiqua"/>
          <w:sz w:val="22"/>
          <w:szCs w:val="22"/>
        </w:rPr>
        <w:t xml:space="preserve"> Appellant </w:t>
      </w:r>
      <w:r w:rsidR="008C4D8C" w:rsidRPr="00281266">
        <w:rPr>
          <w:rFonts w:ascii="Book Antiqua" w:hAnsi="Book Antiqua"/>
          <w:sz w:val="22"/>
          <w:szCs w:val="22"/>
        </w:rPr>
        <w:t>prima</w:t>
      </w:r>
      <w:r w:rsidR="006F6FA1" w:rsidRPr="00281266">
        <w:rPr>
          <w:rFonts w:ascii="Book Antiqua" w:hAnsi="Book Antiqua"/>
          <w:sz w:val="22"/>
          <w:szCs w:val="22"/>
        </w:rPr>
        <w:t xml:space="preserve">ry case </w:t>
      </w:r>
      <w:r w:rsidR="00D128B9" w:rsidRPr="00281266">
        <w:rPr>
          <w:rFonts w:ascii="Book Antiqua" w:hAnsi="Book Antiqua"/>
          <w:sz w:val="22"/>
          <w:szCs w:val="22"/>
        </w:rPr>
        <w:t xml:space="preserve">is </w:t>
      </w:r>
      <w:r w:rsidR="006F6FA1" w:rsidRPr="00281266">
        <w:rPr>
          <w:rFonts w:ascii="Book Antiqua" w:hAnsi="Book Antiqua"/>
          <w:sz w:val="22"/>
          <w:szCs w:val="22"/>
        </w:rPr>
        <w:t xml:space="preserve">that its scheme is </w:t>
      </w:r>
      <w:r w:rsidR="00281266">
        <w:rPr>
          <w:rFonts w:ascii="Book Antiqua" w:hAnsi="Book Antiqua"/>
          <w:sz w:val="22"/>
          <w:szCs w:val="22"/>
        </w:rPr>
        <w:t>for</w:t>
      </w:r>
      <w:r w:rsidR="00D128B9" w:rsidRPr="00281266">
        <w:rPr>
          <w:rFonts w:ascii="Book Antiqua" w:hAnsi="Book Antiqua"/>
          <w:sz w:val="22"/>
          <w:szCs w:val="22"/>
        </w:rPr>
        <w:t xml:space="preserve"> “low cost housing”. The</w:t>
      </w:r>
      <w:r w:rsidRPr="00281266">
        <w:rPr>
          <w:rFonts w:ascii="Book Antiqua" w:hAnsi="Book Antiqua"/>
          <w:sz w:val="22"/>
          <w:szCs w:val="22"/>
        </w:rPr>
        <w:t xml:space="preserve"> LPA</w:t>
      </w:r>
      <w:r w:rsidR="00281266">
        <w:rPr>
          <w:rFonts w:ascii="Book Antiqua" w:hAnsi="Book Antiqua"/>
          <w:sz w:val="22"/>
          <w:szCs w:val="22"/>
        </w:rPr>
        <w:t xml:space="preserve"> disagrees. </w:t>
      </w:r>
    </w:p>
    <w:p w14:paraId="2CC103D2" w14:textId="77777777" w:rsidR="006F6FA1" w:rsidRPr="00C72883" w:rsidRDefault="006F6FA1" w:rsidP="00C72883">
      <w:pPr>
        <w:spacing w:line="360" w:lineRule="auto"/>
        <w:jc w:val="both"/>
        <w:rPr>
          <w:rFonts w:ascii="Book Antiqua" w:hAnsi="Book Antiqua"/>
          <w:sz w:val="22"/>
          <w:szCs w:val="22"/>
        </w:rPr>
      </w:pPr>
    </w:p>
    <w:p w14:paraId="44E8D292" w14:textId="04801066" w:rsidR="00D128B9" w:rsidRPr="00281266" w:rsidRDefault="00A626FC" w:rsidP="00320655">
      <w:pPr>
        <w:pStyle w:val="ListParagraph"/>
        <w:numPr>
          <w:ilvl w:val="0"/>
          <w:numId w:val="5"/>
        </w:numPr>
        <w:spacing w:line="360" w:lineRule="auto"/>
        <w:jc w:val="both"/>
        <w:rPr>
          <w:rFonts w:ascii="Book Antiqua" w:hAnsi="Book Antiqua"/>
          <w:sz w:val="22"/>
          <w:szCs w:val="22"/>
        </w:rPr>
      </w:pPr>
      <w:r w:rsidRPr="0015400F">
        <w:rPr>
          <w:rFonts w:ascii="Book Antiqua" w:hAnsi="Book Antiqua"/>
          <w:sz w:val="22"/>
          <w:szCs w:val="22"/>
        </w:rPr>
        <w:t>There is a lack of clarity over what</w:t>
      </w:r>
      <w:r w:rsidR="00281266">
        <w:rPr>
          <w:rFonts w:ascii="Book Antiqua" w:hAnsi="Book Antiqua"/>
          <w:sz w:val="22"/>
          <w:szCs w:val="22"/>
        </w:rPr>
        <w:t xml:space="preserve"> HMO</w:t>
      </w:r>
      <w:r w:rsidRPr="0015400F">
        <w:rPr>
          <w:rFonts w:ascii="Book Antiqua" w:hAnsi="Book Antiqua"/>
          <w:sz w:val="22"/>
          <w:szCs w:val="22"/>
        </w:rPr>
        <w:t xml:space="preserve"> rent levels the Appellant </w:t>
      </w:r>
      <w:r w:rsidR="004E4565" w:rsidRPr="0015400F">
        <w:rPr>
          <w:rFonts w:ascii="Book Antiqua" w:hAnsi="Book Antiqua"/>
          <w:sz w:val="22"/>
          <w:szCs w:val="22"/>
        </w:rPr>
        <w:t>is putting forward</w:t>
      </w:r>
      <w:r w:rsidR="00281266">
        <w:rPr>
          <w:rFonts w:ascii="Book Antiqua" w:hAnsi="Book Antiqua"/>
          <w:sz w:val="22"/>
          <w:szCs w:val="22"/>
        </w:rPr>
        <w:t xml:space="preserve">. </w:t>
      </w:r>
      <w:r w:rsidR="004E4565" w:rsidRPr="0015400F">
        <w:rPr>
          <w:rFonts w:ascii="Book Antiqua" w:hAnsi="Book Antiqua"/>
          <w:sz w:val="22"/>
          <w:szCs w:val="22"/>
        </w:rPr>
        <w:t xml:space="preserve"> </w:t>
      </w:r>
      <w:r w:rsidRPr="00281266">
        <w:rPr>
          <w:rFonts w:ascii="Book Antiqua" w:hAnsi="Book Antiqua"/>
          <w:sz w:val="22"/>
          <w:szCs w:val="22"/>
        </w:rPr>
        <w:t>At the application stage, the Appellant proposed rent levels of £1,000 per month for a single room and £1,083 for a double room.</w:t>
      </w:r>
      <w:r w:rsidR="00BD7727">
        <w:rPr>
          <w:rStyle w:val="FootnoteReference"/>
          <w:rFonts w:ascii="Book Antiqua" w:hAnsi="Book Antiqua"/>
          <w:sz w:val="22"/>
          <w:szCs w:val="22"/>
        </w:rPr>
        <w:footnoteReference w:id="17"/>
      </w:r>
      <w:r w:rsidRPr="00281266">
        <w:rPr>
          <w:rFonts w:ascii="Book Antiqua" w:hAnsi="Book Antiqua"/>
          <w:sz w:val="22"/>
          <w:szCs w:val="22"/>
        </w:rPr>
        <w:t xml:space="preserve"> </w:t>
      </w:r>
      <w:r w:rsidR="00F1632B" w:rsidRPr="00281266">
        <w:rPr>
          <w:rFonts w:ascii="Book Antiqua" w:hAnsi="Book Antiqua"/>
          <w:sz w:val="22"/>
          <w:szCs w:val="22"/>
        </w:rPr>
        <w:t xml:space="preserve">The Appellant’s viability appraisal indicates that the double rooms, at least, could command </w:t>
      </w:r>
      <w:r w:rsidR="00BD7727">
        <w:rPr>
          <w:rFonts w:ascii="Book Antiqua" w:hAnsi="Book Antiqua"/>
          <w:sz w:val="22"/>
          <w:szCs w:val="22"/>
        </w:rPr>
        <w:t xml:space="preserve">market </w:t>
      </w:r>
      <w:r w:rsidR="00F1632B" w:rsidRPr="00281266">
        <w:rPr>
          <w:rFonts w:ascii="Book Antiqua" w:hAnsi="Book Antiqua"/>
          <w:sz w:val="22"/>
          <w:szCs w:val="22"/>
        </w:rPr>
        <w:t xml:space="preserve">rents </w:t>
      </w:r>
      <w:r w:rsidR="00281266">
        <w:rPr>
          <w:rFonts w:ascii="Book Antiqua" w:hAnsi="Book Antiqua"/>
          <w:sz w:val="22"/>
          <w:szCs w:val="22"/>
        </w:rPr>
        <w:t xml:space="preserve">of </w:t>
      </w:r>
      <w:r w:rsidR="00F1632B" w:rsidRPr="00281266">
        <w:rPr>
          <w:rFonts w:ascii="Book Antiqua" w:hAnsi="Book Antiqua"/>
          <w:sz w:val="22"/>
          <w:szCs w:val="22"/>
        </w:rPr>
        <w:t>£1,325.</w:t>
      </w:r>
      <w:r w:rsidR="00281266">
        <w:rPr>
          <w:rStyle w:val="FootnoteReference"/>
          <w:rFonts w:ascii="Book Antiqua" w:hAnsi="Book Antiqua"/>
          <w:sz w:val="22"/>
          <w:szCs w:val="22"/>
        </w:rPr>
        <w:footnoteReference w:id="18"/>
      </w:r>
      <w:r w:rsidR="00F1632B" w:rsidRPr="00281266">
        <w:rPr>
          <w:rFonts w:ascii="Book Antiqua" w:hAnsi="Book Antiqua"/>
          <w:sz w:val="22"/>
          <w:szCs w:val="22"/>
        </w:rPr>
        <w:t xml:space="preserve"> </w:t>
      </w:r>
      <w:r w:rsidR="00281266">
        <w:rPr>
          <w:rFonts w:ascii="Book Antiqua" w:hAnsi="Book Antiqua"/>
          <w:sz w:val="22"/>
          <w:szCs w:val="22"/>
        </w:rPr>
        <w:t xml:space="preserve"> </w:t>
      </w:r>
      <w:r w:rsidR="00BD7727">
        <w:rPr>
          <w:rFonts w:ascii="Book Antiqua" w:hAnsi="Book Antiqua"/>
          <w:sz w:val="22"/>
          <w:szCs w:val="22"/>
        </w:rPr>
        <w:t>T</w:t>
      </w:r>
      <w:r w:rsidR="00281266">
        <w:rPr>
          <w:rFonts w:ascii="Book Antiqua" w:hAnsi="Book Antiqua"/>
          <w:sz w:val="22"/>
          <w:szCs w:val="22"/>
        </w:rPr>
        <w:t xml:space="preserve">he </w:t>
      </w:r>
      <w:r w:rsidR="00D128B9" w:rsidRPr="00281266">
        <w:rPr>
          <w:rFonts w:ascii="Book Antiqua" w:hAnsi="Book Antiqua"/>
          <w:sz w:val="22"/>
          <w:szCs w:val="22"/>
        </w:rPr>
        <w:t xml:space="preserve">Appellant proposed </w:t>
      </w:r>
      <w:r w:rsidR="004E4565" w:rsidRPr="00281266">
        <w:rPr>
          <w:rFonts w:ascii="Book Antiqua" w:hAnsi="Book Antiqua"/>
          <w:sz w:val="22"/>
          <w:szCs w:val="22"/>
        </w:rPr>
        <w:t>cap</w:t>
      </w:r>
      <w:r w:rsidR="00232900" w:rsidRPr="00281266">
        <w:rPr>
          <w:rFonts w:ascii="Book Antiqua" w:hAnsi="Book Antiqua"/>
          <w:sz w:val="22"/>
          <w:szCs w:val="22"/>
        </w:rPr>
        <w:t>ping</w:t>
      </w:r>
      <w:r w:rsidR="00281266">
        <w:rPr>
          <w:rFonts w:ascii="Book Antiqua" w:hAnsi="Book Antiqua"/>
          <w:sz w:val="22"/>
          <w:szCs w:val="22"/>
        </w:rPr>
        <w:t xml:space="preserve"> the HMO</w:t>
      </w:r>
      <w:r w:rsidR="004E4565" w:rsidRPr="00281266">
        <w:rPr>
          <w:rFonts w:ascii="Book Antiqua" w:hAnsi="Book Antiqua"/>
          <w:sz w:val="22"/>
          <w:szCs w:val="22"/>
        </w:rPr>
        <w:t xml:space="preserve"> </w:t>
      </w:r>
      <w:r w:rsidR="00D128B9" w:rsidRPr="00281266">
        <w:rPr>
          <w:rFonts w:ascii="Book Antiqua" w:hAnsi="Book Antiqua"/>
          <w:sz w:val="22"/>
          <w:szCs w:val="22"/>
        </w:rPr>
        <w:t>rent</w:t>
      </w:r>
      <w:r w:rsidR="00281266">
        <w:rPr>
          <w:rFonts w:ascii="Book Antiqua" w:hAnsi="Book Antiqua"/>
          <w:sz w:val="22"/>
          <w:szCs w:val="22"/>
        </w:rPr>
        <w:t>s</w:t>
      </w:r>
      <w:r w:rsidR="00D128B9" w:rsidRPr="00281266">
        <w:rPr>
          <w:rFonts w:ascii="Book Antiqua" w:hAnsi="Book Antiqua"/>
          <w:sz w:val="22"/>
          <w:szCs w:val="22"/>
        </w:rPr>
        <w:t xml:space="preserve"> a</w:t>
      </w:r>
      <w:r w:rsidR="00232900" w:rsidRPr="00281266">
        <w:rPr>
          <w:rFonts w:ascii="Book Antiqua" w:hAnsi="Book Antiqua"/>
          <w:sz w:val="22"/>
          <w:szCs w:val="22"/>
        </w:rPr>
        <w:t>t</w:t>
      </w:r>
      <w:r w:rsidR="00D128B9" w:rsidRPr="00281266">
        <w:rPr>
          <w:rFonts w:ascii="Book Antiqua" w:hAnsi="Book Antiqua"/>
          <w:sz w:val="22"/>
          <w:szCs w:val="22"/>
        </w:rPr>
        <w:t xml:space="preserve"> 80% of the reasonable market rent for </w:t>
      </w:r>
      <w:r w:rsidR="00BD7727">
        <w:rPr>
          <w:rFonts w:ascii="Book Antiqua" w:hAnsi="Book Antiqua"/>
          <w:sz w:val="22"/>
          <w:szCs w:val="22"/>
        </w:rPr>
        <w:t xml:space="preserve">a </w:t>
      </w:r>
      <w:r w:rsidR="00D128B9" w:rsidRPr="00281266">
        <w:rPr>
          <w:rFonts w:ascii="Book Antiqua" w:hAnsi="Book Antiqua"/>
          <w:sz w:val="22"/>
          <w:szCs w:val="22"/>
        </w:rPr>
        <w:t>studio in Tower Hamlets</w:t>
      </w:r>
      <w:r w:rsidR="00BD7727">
        <w:rPr>
          <w:rFonts w:ascii="Book Antiqua" w:hAnsi="Book Antiqua"/>
          <w:sz w:val="22"/>
          <w:szCs w:val="22"/>
        </w:rPr>
        <w:t xml:space="preserve"> through a unilateral undertaking</w:t>
      </w:r>
      <w:r w:rsidR="00D128B9" w:rsidRPr="00281266">
        <w:rPr>
          <w:rFonts w:ascii="Book Antiqua" w:hAnsi="Book Antiqua"/>
          <w:sz w:val="22"/>
          <w:szCs w:val="22"/>
        </w:rPr>
        <w:t xml:space="preserve">. </w:t>
      </w:r>
      <w:r w:rsidR="00232900" w:rsidRPr="00281266">
        <w:rPr>
          <w:rFonts w:ascii="Book Antiqua" w:hAnsi="Book Antiqua"/>
          <w:sz w:val="22"/>
          <w:szCs w:val="22"/>
        </w:rPr>
        <w:t xml:space="preserve">This </w:t>
      </w:r>
      <w:r w:rsidR="00BD7727">
        <w:rPr>
          <w:rFonts w:ascii="Book Antiqua" w:hAnsi="Book Antiqua"/>
          <w:sz w:val="22"/>
          <w:szCs w:val="22"/>
        </w:rPr>
        <w:t xml:space="preserve">would allow for rents to be charged which are considerably </w:t>
      </w:r>
      <w:r w:rsidR="00281266">
        <w:rPr>
          <w:rFonts w:ascii="Book Antiqua" w:hAnsi="Book Antiqua"/>
          <w:sz w:val="22"/>
          <w:szCs w:val="22"/>
        </w:rPr>
        <w:t>higher than the</w:t>
      </w:r>
      <w:r w:rsidR="002F3AB4">
        <w:rPr>
          <w:rFonts w:ascii="Book Antiqua" w:hAnsi="Book Antiqua"/>
          <w:sz w:val="22"/>
          <w:szCs w:val="22"/>
        </w:rPr>
        <w:t xml:space="preserve"> Appellant’s</w:t>
      </w:r>
      <w:r w:rsidR="00281266">
        <w:rPr>
          <w:rFonts w:ascii="Book Antiqua" w:hAnsi="Book Antiqua"/>
          <w:sz w:val="22"/>
          <w:szCs w:val="22"/>
        </w:rPr>
        <w:t xml:space="preserve"> original proposed rents.</w:t>
      </w:r>
      <w:r w:rsidR="00281266">
        <w:rPr>
          <w:rStyle w:val="FootnoteReference"/>
          <w:rFonts w:ascii="Book Antiqua" w:hAnsi="Book Antiqua"/>
          <w:sz w:val="22"/>
          <w:szCs w:val="22"/>
        </w:rPr>
        <w:footnoteReference w:id="19"/>
      </w:r>
      <w:r w:rsidR="00232900" w:rsidRPr="00281266">
        <w:rPr>
          <w:rFonts w:ascii="Book Antiqua" w:hAnsi="Book Antiqua"/>
          <w:sz w:val="22"/>
          <w:szCs w:val="22"/>
        </w:rPr>
        <w:t xml:space="preserve">  </w:t>
      </w:r>
    </w:p>
    <w:p w14:paraId="79B6A168" w14:textId="77777777" w:rsidR="00232900" w:rsidRPr="00281266" w:rsidRDefault="00232900" w:rsidP="00281266">
      <w:pPr>
        <w:spacing w:line="360" w:lineRule="auto"/>
        <w:rPr>
          <w:rFonts w:ascii="Book Antiqua" w:hAnsi="Book Antiqua"/>
          <w:sz w:val="22"/>
          <w:szCs w:val="22"/>
        </w:rPr>
      </w:pPr>
    </w:p>
    <w:p w14:paraId="21F8F918" w14:textId="77777777" w:rsidR="00BD7727" w:rsidRDefault="00281266" w:rsidP="00320655">
      <w:pPr>
        <w:pStyle w:val="ListParagraph"/>
        <w:numPr>
          <w:ilvl w:val="0"/>
          <w:numId w:val="5"/>
        </w:numPr>
        <w:spacing w:line="360" w:lineRule="auto"/>
        <w:jc w:val="both"/>
        <w:rPr>
          <w:rFonts w:ascii="Book Antiqua" w:hAnsi="Book Antiqua"/>
          <w:sz w:val="22"/>
          <w:szCs w:val="22"/>
        </w:rPr>
      </w:pPr>
      <w:r>
        <w:rPr>
          <w:rFonts w:ascii="Book Antiqua" w:hAnsi="Book Antiqua"/>
          <w:sz w:val="22"/>
          <w:szCs w:val="22"/>
        </w:rPr>
        <w:t>I</w:t>
      </w:r>
      <w:r w:rsidR="00A626FC" w:rsidRPr="0015400F">
        <w:rPr>
          <w:rFonts w:ascii="Book Antiqua" w:hAnsi="Book Antiqua"/>
          <w:sz w:val="22"/>
          <w:szCs w:val="22"/>
        </w:rPr>
        <w:t>rrespective of wh</w:t>
      </w:r>
      <w:r w:rsidR="001807BB">
        <w:rPr>
          <w:rFonts w:ascii="Book Antiqua" w:hAnsi="Book Antiqua"/>
          <w:sz w:val="22"/>
          <w:szCs w:val="22"/>
        </w:rPr>
        <w:t>ich of these</w:t>
      </w:r>
      <w:r w:rsidR="00A626FC" w:rsidRPr="0015400F">
        <w:rPr>
          <w:rFonts w:ascii="Book Antiqua" w:hAnsi="Book Antiqua"/>
          <w:sz w:val="22"/>
          <w:szCs w:val="22"/>
        </w:rPr>
        <w:t xml:space="preserve"> rent levels are applied, </w:t>
      </w:r>
      <w:r w:rsidR="00F1632B" w:rsidRPr="0015400F">
        <w:rPr>
          <w:rFonts w:ascii="Book Antiqua" w:hAnsi="Book Antiqua"/>
          <w:sz w:val="22"/>
          <w:szCs w:val="22"/>
        </w:rPr>
        <w:t xml:space="preserve">the LPA’s case is </w:t>
      </w:r>
      <w:r w:rsidR="00A626FC" w:rsidRPr="0015400F">
        <w:rPr>
          <w:rFonts w:ascii="Book Antiqua" w:hAnsi="Book Antiqua"/>
          <w:sz w:val="22"/>
          <w:szCs w:val="22"/>
        </w:rPr>
        <w:t>none of the</w:t>
      </w:r>
      <w:r w:rsidR="00F1632B" w:rsidRPr="0015400F">
        <w:rPr>
          <w:rFonts w:ascii="Book Antiqua" w:hAnsi="Book Antiqua"/>
          <w:sz w:val="22"/>
          <w:szCs w:val="22"/>
        </w:rPr>
        <w:t>se</w:t>
      </w:r>
      <w:r w:rsidR="00A626FC" w:rsidRPr="0015400F">
        <w:rPr>
          <w:rFonts w:ascii="Book Antiqua" w:hAnsi="Book Antiqua"/>
          <w:sz w:val="22"/>
          <w:szCs w:val="22"/>
        </w:rPr>
        <w:t xml:space="preserve"> constitute “low cost housing”. </w:t>
      </w:r>
    </w:p>
    <w:p w14:paraId="6778DD11" w14:textId="77777777" w:rsidR="00BD7727" w:rsidRPr="00BD7727" w:rsidRDefault="00BD7727" w:rsidP="00BD7727">
      <w:pPr>
        <w:pStyle w:val="ListParagraph"/>
        <w:rPr>
          <w:rFonts w:ascii="Book Antiqua" w:hAnsi="Book Antiqua"/>
          <w:sz w:val="22"/>
          <w:szCs w:val="22"/>
        </w:rPr>
      </w:pPr>
    </w:p>
    <w:p w14:paraId="492C7DB7" w14:textId="31C82D85" w:rsidR="00C50931" w:rsidRPr="00BD7727" w:rsidRDefault="00A626FC" w:rsidP="00BD7727">
      <w:pPr>
        <w:pStyle w:val="ListParagraph"/>
        <w:numPr>
          <w:ilvl w:val="0"/>
          <w:numId w:val="5"/>
        </w:numPr>
        <w:spacing w:line="360" w:lineRule="auto"/>
        <w:jc w:val="both"/>
        <w:rPr>
          <w:rFonts w:ascii="Book Antiqua" w:hAnsi="Book Antiqua"/>
          <w:sz w:val="22"/>
          <w:szCs w:val="22"/>
        </w:rPr>
      </w:pPr>
      <w:r w:rsidRPr="0015400F">
        <w:rPr>
          <w:rFonts w:ascii="Book Antiqua" w:hAnsi="Book Antiqua"/>
          <w:sz w:val="22"/>
          <w:szCs w:val="22"/>
        </w:rPr>
        <w:t xml:space="preserve">“Low cost housing” is “housing </w:t>
      </w:r>
      <w:r w:rsidR="00E80E3B">
        <w:rPr>
          <w:rFonts w:ascii="Book Antiqua" w:hAnsi="Book Antiqua"/>
          <w:sz w:val="22"/>
          <w:szCs w:val="22"/>
        </w:rPr>
        <w:t>with</w:t>
      </w:r>
      <w:r w:rsidRPr="0015400F">
        <w:rPr>
          <w:rFonts w:ascii="Book Antiqua" w:hAnsi="Book Antiqua"/>
          <w:sz w:val="22"/>
          <w:szCs w:val="22"/>
        </w:rPr>
        <w:t xml:space="preserve"> shared facilities for people with </w:t>
      </w:r>
      <w:r w:rsidRPr="0015400F">
        <w:rPr>
          <w:rFonts w:ascii="Book Antiqua" w:hAnsi="Book Antiqua"/>
          <w:i/>
          <w:sz w:val="22"/>
          <w:szCs w:val="22"/>
        </w:rPr>
        <w:t>low incomes</w:t>
      </w:r>
      <w:r w:rsidRPr="0015400F">
        <w:rPr>
          <w:rFonts w:ascii="Book Antiqua" w:hAnsi="Book Antiqua"/>
          <w:sz w:val="22"/>
          <w:szCs w:val="22"/>
        </w:rPr>
        <w:t>”</w:t>
      </w:r>
      <w:r w:rsidR="001807BB">
        <w:rPr>
          <w:rStyle w:val="FootnoteReference"/>
          <w:rFonts w:ascii="Book Antiqua" w:hAnsi="Book Antiqua"/>
          <w:sz w:val="22"/>
          <w:szCs w:val="22"/>
        </w:rPr>
        <w:footnoteReference w:id="20"/>
      </w:r>
      <w:r w:rsidRPr="0015400F">
        <w:rPr>
          <w:rFonts w:ascii="Book Antiqua" w:hAnsi="Book Antiqua"/>
          <w:sz w:val="22"/>
          <w:szCs w:val="22"/>
        </w:rPr>
        <w:t xml:space="preserve">. </w:t>
      </w:r>
      <w:r w:rsidR="00F1632B" w:rsidRPr="00BD7727">
        <w:rPr>
          <w:rFonts w:ascii="Book Antiqua" w:hAnsi="Book Antiqua"/>
          <w:sz w:val="22"/>
          <w:szCs w:val="22"/>
        </w:rPr>
        <w:t xml:space="preserve">The proposed rent levels are expressly predicated </w:t>
      </w:r>
      <w:r w:rsidR="00D93622" w:rsidRPr="00BD7727">
        <w:rPr>
          <w:rFonts w:ascii="Book Antiqua" w:hAnsi="Book Antiqua"/>
          <w:sz w:val="22"/>
          <w:szCs w:val="22"/>
        </w:rPr>
        <w:t>on higher income levels</w:t>
      </w:r>
      <w:r w:rsidR="004E4565" w:rsidRPr="0015400F">
        <w:rPr>
          <w:rStyle w:val="FootnoteReference"/>
          <w:rFonts w:ascii="Book Antiqua" w:hAnsi="Book Antiqua"/>
          <w:sz w:val="22"/>
          <w:szCs w:val="22"/>
        </w:rPr>
        <w:footnoteReference w:id="21"/>
      </w:r>
      <w:r w:rsidR="00D93622" w:rsidRPr="00BD7727">
        <w:rPr>
          <w:rFonts w:ascii="Book Antiqua" w:hAnsi="Book Antiqua"/>
          <w:sz w:val="22"/>
          <w:szCs w:val="22"/>
        </w:rPr>
        <w:t xml:space="preserve">. Indeed it is </w:t>
      </w:r>
      <w:r w:rsidR="00F1632B" w:rsidRPr="00BD7727">
        <w:rPr>
          <w:rFonts w:ascii="Book Antiqua" w:hAnsi="Book Antiqua"/>
          <w:sz w:val="22"/>
          <w:szCs w:val="22"/>
        </w:rPr>
        <w:t>obvious</w:t>
      </w:r>
      <w:r w:rsidRPr="00BD7727">
        <w:rPr>
          <w:rFonts w:ascii="Book Antiqua" w:hAnsi="Book Antiqua"/>
          <w:sz w:val="22"/>
          <w:szCs w:val="22"/>
        </w:rPr>
        <w:t xml:space="preserve"> when one looks at who the HMO is targeted </w:t>
      </w:r>
      <w:r w:rsidR="001807BB" w:rsidRPr="00BD7727">
        <w:rPr>
          <w:rFonts w:ascii="Book Antiqua" w:hAnsi="Book Antiqua"/>
          <w:sz w:val="22"/>
          <w:szCs w:val="22"/>
        </w:rPr>
        <w:t xml:space="preserve">at </w:t>
      </w:r>
      <w:r w:rsidR="00F1632B" w:rsidRPr="00BD7727">
        <w:rPr>
          <w:rFonts w:ascii="Book Antiqua" w:hAnsi="Book Antiqua"/>
          <w:sz w:val="22"/>
          <w:szCs w:val="22"/>
        </w:rPr>
        <w:t>and the rent</w:t>
      </w:r>
      <w:r w:rsidR="001807BB" w:rsidRPr="00BD7727">
        <w:rPr>
          <w:rFonts w:ascii="Book Antiqua" w:hAnsi="Book Antiqua"/>
          <w:sz w:val="22"/>
          <w:szCs w:val="22"/>
        </w:rPr>
        <w:t>s</w:t>
      </w:r>
      <w:r w:rsidR="00F1632B" w:rsidRPr="00BD7727">
        <w:rPr>
          <w:rFonts w:ascii="Book Antiqua" w:hAnsi="Book Antiqua"/>
          <w:sz w:val="22"/>
          <w:szCs w:val="22"/>
        </w:rPr>
        <w:t xml:space="preserve"> proposed, that this accommodation would be unattainable to people on low incomes. Even </w:t>
      </w:r>
      <w:r w:rsidR="001807BB" w:rsidRPr="00BD7727">
        <w:rPr>
          <w:rFonts w:ascii="Book Antiqua" w:hAnsi="Book Antiqua"/>
          <w:sz w:val="22"/>
          <w:szCs w:val="22"/>
        </w:rPr>
        <w:t>taking</w:t>
      </w:r>
      <w:r w:rsidR="00F1632B" w:rsidRPr="00BD7727">
        <w:rPr>
          <w:rFonts w:ascii="Book Antiqua" w:hAnsi="Book Antiqua"/>
          <w:sz w:val="22"/>
          <w:szCs w:val="22"/>
        </w:rPr>
        <w:t xml:space="preserve"> the lowest rent suggested by the Appellant (£1,000 per month</w:t>
      </w:r>
      <w:r w:rsidR="004E4565" w:rsidRPr="00BD7727">
        <w:rPr>
          <w:rFonts w:ascii="Book Antiqua" w:hAnsi="Book Antiqua"/>
          <w:sz w:val="22"/>
          <w:szCs w:val="22"/>
        </w:rPr>
        <w:t xml:space="preserve"> (unsecured)</w:t>
      </w:r>
      <w:r w:rsidR="00F1632B" w:rsidRPr="00BD7727">
        <w:rPr>
          <w:rFonts w:ascii="Book Antiqua" w:hAnsi="Book Antiqua"/>
          <w:sz w:val="22"/>
          <w:szCs w:val="22"/>
        </w:rPr>
        <w:t xml:space="preserve"> for a single room), that would</w:t>
      </w:r>
      <w:r w:rsidR="001807BB" w:rsidRPr="00BD7727">
        <w:rPr>
          <w:rFonts w:ascii="Book Antiqua" w:hAnsi="Book Antiqua"/>
          <w:sz w:val="22"/>
          <w:szCs w:val="22"/>
        </w:rPr>
        <w:t xml:space="preserve"> require someone on a low income in Tower Hamlets, </w:t>
      </w:r>
      <w:r w:rsidR="002F3AB4" w:rsidRPr="00BD7727">
        <w:rPr>
          <w:rFonts w:ascii="Book Antiqua" w:hAnsi="Book Antiqua"/>
          <w:sz w:val="22"/>
          <w:szCs w:val="22"/>
        </w:rPr>
        <w:t xml:space="preserve">that is </w:t>
      </w:r>
      <w:r w:rsidR="001807BB" w:rsidRPr="00BD7727">
        <w:rPr>
          <w:rFonts w:ascii="Book Antiqua" w:hAnsi="Book Antiqua"/>
          <w:sz w:val="22"/>
          <w:szCs w:val="22"/>
        </w:rPr>
        <w:t xml:space="preserve">less than </w:t>
      </w:r>
      <w:r w:rsidR="00F1632B" w:rsidRPr="00BD7727">
        <w:rPr>
          <w:rFonts w:ascii="Book Antiqua" w:hAnsi="Book Antiqua"/>
          <w:sz w:val="22"/>
          <w:szCs w:val="22"/>
        </w:rPr>
        <w:t>£18</w:t>
      </w:r>
      <w:r w:rsidR="001807BB" w:rsidRPr="00BD7727">
        <w:rPr>
          <w:rFonts w:ascii="Book Antiqua" w:hAnsi="Book Antiqua"/>
          <w:sz w:val="22"/>
          <w:szCs w:val="22"/>
        </w:rPr>
        <w:t>,000 (gross pay)</w:t>
      </w:r>
      <w:r w:rsidR="00F1632B" w:rsidRPr="00BD7727">
        <w:rPr>
          <w:rFonts w:ascii="Book Antiqua" w:hAnsi="Book Antiqua"/>
          <w:sz w:val="22"/>
          <w:szCs w:val="22"/>
        </w:rPr>
        <w:t xml:space="preserve">, </w:t>
      </w:r>
      <w:r w:rsidR="001807BB" w:rsidRPr="00BD7727">
        <w:rPr>
          <w:rFonts w:ascii="Book Antiqua" w:hAnsi="Book Antiqua"/>
          <w:sz w:val="22"/>
          <w:szCs w:val="22"/>
        </w:rPr>
        <w:t xml:space="preserve">to spend £12,000 p.a., </w:t>
      </w:r>
      <w:r w:rsidR="00C50931" w:rsidRPr="00BD7727">
        <w:rPr>
          <w:rFonts w:ascii="Book Antiqua" w:hAnsi="Book Antiqua"/>
          <w:sz w:val="22"/>
          <w:szCs w:val="22"/>
        </w:rPr>
        <w:t xml:space="preserve">roughly </w:t>
      </w:r>
      <w:r w:rsidR="00F1632B" w:rsidRPr="00BD7727">
        <w:rPr>
          <w:rFonts w:ascii="Book Antiqua" w:hAnsi="Book Antiqua"/>
          <w:sz w:val="22"/>
          <w:szCs w:val="22"/>
        </w:rPr>
        <w:t>70% of their income</w:t>
      </w:r>
      <w:r w:rsidR="001807BB" w:rsidRPr="00BD7727">
        <w:rPr>
          <w:rFonts w:ascii="Book Antiqua" w:hAnsi="Book Antiqua"/>
          <w:sz w:val="22"/>
          <w:szCs w:val="22"/>
        </w:rPr>
        <w:t>,</w:t>
      </w:r>
      <w:r w:rsidR="00F1632B" w:rsidRPr="00BD7727">
        <w:rPr>
          <w:rFonts w:ascii="Book Antiqua" w:hAnsi="Book Antiqua"/>
          <w:sz w:val="22"/>
          <w:szCs w:val="22"/>
        </w:rPr>
        <w:t xml:space="preserve"> on rent</w:t>
      </w:r>
      <w:r w:rsidR="001807BB" w:rsidRPr="00BD7727">
        <w:rPr>
          <w:rFonts w:ascii="Book Antiqua" w:hAnsi="Book Antiqua"/>
          <w:sz w:val="22"/>
          <w:szCs w:val="22"/>
        </w:rPr>
        <w:t xml:space="preserve"> for a single room</w:t>
      </w:r>
      <w:r w:rsidR="00F1632B" w:rsidRPr="00BD7727">
        <w:rPr>
          <w:rFonts w:ascii="Book Antiqua" w:hAnsi="Book Antiqua"/>
          <w:sz w:val="22"/>
          <w:szCs w:val="22"/>
        </w:rPr>
        <w:t xml:space="preserve">. The position is </w:t>
      </w:r>
      <w:r w:rsidR="00D128B9" w:rsidRPr="00BD7727">
        <w:rPr>
          <w:rFonts w:ascii="Book Antiqua" w:hAnsi="Book Antiqua"/>
          <w:sz w:val="22"/>
          <w:szCs w:val="22"/>
        </w:rPr>
        <w:t xml:space="preserve">significantly worse </w:t>
      </w:r>
      <w:r w:rsidR="00C50931" w:rsidRPr="00BD7727">
        <w:rPr>
          <w:rFonts w:ascii="Book Antiqua" w:hAnsi="Book Antiqua"/>
          <w:sz w:val="22"/>
          <w:szCs w:val="22"/>
        </w:rPr>
        <w:t xml:space="preserve">if one considers the </w:t>
      </w:r>
      <w:r w:rsidR="00D128B9" w:rsidRPr="00BD7727">
        <w:rPr>
          <w:rFonts w:ascii="Book Antiqua" w:hAnsi="Book Antiqua"/>
          <w:sz w:val="22"/>
          <w:szCs w:val="22"/>
        </w:rPr>
        <w:t>higher rents</w:t>
      </w:r>
      <w:r w:rsidR="00C50931" w:rsidRPr="00BD7727">
        <w:rPr>
          <w:rFonts w:ascii="Book Antiqua" w:hAnsi="Book Antiqua"/>
          <w:sz w:val="22"/>
          <w:szCs w:val="22"/>
        </w:rPr>
        <w:t xml:space="preserve"> which are </w:t>
      </w:r>
      <w:r w:rsidR="002F3AB4" w:rsidRPr="00BD7727">
        <w:rPr>
          <w:rFonts w:ascii="Book Antiqua" w:hAnsi="Book Antiqua"/>
          <w:sz w:val="22"/>
          <w:szCs w:val="22"/>
        </w:rPr>
        <w:t xml:space="preserve">now </w:t>
      </w:r>
      <w:r w:rsidR="00C50931" w:rsidRPr="00BD7727">
        <w:rPr>
          <w:rFonts w:ascii="Book Antiqua" w:hAnsi="Book Antiqua"/>
          <w:sz w:val="22"/>
          <w:szCs w:val="22"/>
        </w:rPr>
        <w:t>put forward</w:t>
      </w:r>
      <w:r w:rsidR="00D128B9" w:rsidRPr="00BD7727">
        <w:rPr>
          <w:rFonts w:ascii="Book Antiqua" w:hAnsi="Book Antiqua"/>
          <w:sz w:val="22"/>
          <w:szCs w:val="22"/>
        </w:rPr>
        <w:t xml:space="preserve">. </w:t>
      </w:r>
    </w:p>
    <w:p w14:paraId="4ADFB504" w14:textId="77777777" w:rsidR="00C50931" w:rsidRPr="0015400F" w:rsidRDefault="00C50931" w:rsidP="0015400F">
      <w:pPr>
        <w:pStyle w:val="ListParagraph"/>
        <w:spacing w:line="360" w:lineRule="auto"/>
        <w:rPr>
          <w:rFonts w:ascii="Book Antiqua" w:hAnsi="Book Antiqua"/>
          <w:sz w:val="22"/>
          <w:szCs w:val="22"/>
        </w:rPr>
      </w:pPr>
    </w:p>
    <w:p w14:paraId="1D79AF8F" w14:textId="37AC5CB4" w:rsidR="00281266" w:rsidRPr="002F3AB4" w:rsidRDefault="00C50931" w:rsidP="002F3AB4">
      <w:pPr>
        <w:pStyle w:val="ListParagraph"/>
        <w:numPr>
          <w:ilvl w:val="0"/>
          <w:numId w:val="5"/>
        </w:numPr>
        <w:spacing w:line="360" w:lineRule="auto"/>
        <w:jc w:val="both"/>
        <w:rPr>
          <w:rFonts w:ascii="Book Antiqua" w:hAnsi="Book Antiqua"/>
          <w:sz w:val="22"/>
          <w:szCs w:val="22"/>
        </w:rPr>
      </w:pPr>
      <w:r w:rsidRPr="0015400F">
        <w:rPr>
          <w:rFonts w:ascii="Book Antiqua" w:hAnsi="Book Antiqua"/>
          <w:sz w:val="22"/>
          <w:szCs w:val="22"/>
        </w:rPr>
        <w:t xml:space="preserve">Put simply, the Appellant’s proposition </w:t>
      </w:r>
      <w:r w:rsidR="00F1632B" w:rsidRPr="0015400F">
        <w:rPr>
          <w:rFonts w:ascii="Book Antiqua" w:hAnsi="Book Antiqua"/>
          <w:sz w:val="22"/>
          <w:szCs w:val="22"/>
        </w:rPr>
        <w:t>is not housing for people on low incomes.</w:t>
      </w:r>
      <w:r w:rsidRPr="0015400F">
        <w:rPr>
          <w:rFonts w:ascii="Book Antiqua" w:hAnsi="Book Antiqua"/>
          <w:sz w:val="22"/>
          <w:szCs w:val="22"/>
        </w:rPr>
        <w:t xml:space="preserve"> </w:t>
      </w:r>
      <w:r w:rsidR="00BD7727">
        <w:rPr>
          <w:rFonts w:ascii="Book Antiqua" w:hAnsi="Book Antiqua"/>
          <w:sz w:val="22"/>
          <w:szCs w:val="22"/>
        </w:rPr>
        <w:t>Nor would t</w:t>
      </w:r>
      <w:r w:rsidR="00D93622">
        <w:rPr>
          <w:rFonts w:ascii="Book Antiqua" w:hAnsi="Book Antiqua"/>
          <w:sz w:val="22"/>
          <w:szCs w:val="22"/>
        </w:rPr>
        <w:t xml:space="preserve">he rent levels secured by the  unilateral undertaking </w:t>
      </w:r>
      <w:r w:rsidR="00BD7727">
        <w:rPr>
          <w:rFonts w:ascii="Book Antiqua" w:hAnsi="Book Antiqua"/>
          <w:sz w:val="22"/>
          <w:szCs w:val="22"/>
        </w:rPr>
        <w:t>be</w:t>
      </w:r>
      <w:r w:rsidR="00D93622">
        <w:rPr>
          <w:rFonts w:ascii="Book Antiqua" w:hAnsi="Book Antiqua"/>
          <w:sz w:val="22"/>
          <w:szCs w:val="22"/>
        </w:rPr>
        <w:t xml:space="preserve"> “low cost”</w:t>
      </w:r>
      <w:r w:rsidR="00281266" w:rsidRPr="002F3AB4">
        <w:rPr>
          <w:rFonts w:ascii="Book Antiqua" w:hAnsi="Book Antiqua"/>
          <w:sz w:val="22"/>
          <w:szCs w:val="22"/>
        </w:rPr>
        <w:t>.</w:t>
      </w:r>
    </w:p>
    <w:p w14:paraId="6373E681" w14:textId="77777777" w:rsidR="001807BB" w:rsidRPr="001807BB" w:rsidRDefault="001807BB" w:rsidP="001807BB">
      <w:pPr>
        <w:spacing w:line="360" w:lineRule="auto"/>
        <w:jc w:val="both"/>
        <w:rPr>
          <w:rFonts w:ascii="Book Antiqua" w:hAnsi="Book Antiqua"/>
          <w:sz w:val="22"/>
          <w:szCs w:val="22"/>
        </w:rPr>
      </w:pPr>
    </w:p>
    <w:p w14:paraId="6A9CD40D" w14:textId="6B84CEF6" w:rsidR="00D128B9" w:rsidRPr="0015400F" w:rsidRDefault="00D128B9" w:rsidP="0015400F">
      <w:pPr>
        <w:spacing w:line="360" w:lineRule="auto"/>
        <w:jc w:val="both"/>
        <w:rPr>
          <w:rFonts w:ascii="Book Antiqua" w:hAnsi="Book Antiqua"/>
          <w:i/>
          <w:sz w:val="22"/>
          <w:szCs w:val="22"/>
        </w:rPr>
      </w:pPr>
      <w:r w:rsidRPr="0015400F">
        <w:rPr>
          <w:rFonts w:ascii="Book Antiqua" w:hAnsi="Book Antiqua"/>
          <w:i/>
          <w:sz w:val="22"/>
          <w:szCs w:val="22"/>
        </w:rPr>
        <w:t xml:space="preserve">Does the appeal scheme provide an </w:t>
      </w:r>
      <w:r w:rsidR="001807BB">
        <w:rPr>
          <w:rFonts w:ascii="Book Antiqua" w:hAnsi="Book Antiqua"/>
          <w:i/>
          <w:sz w:val="22"/>
          <w:szCs w:val="22"/>
        </w:rPr>
        <w:t>“</w:t>
      </w:r>
      <w:r w:rsidRPr="0015400F">
        <w:rPr>
          <w:rFonts w:ascii="Book Antiqua" w:hAnsi="Book Antiqua"/>
          <w:i/>
          <w:sz w:val="22"/>
          <w:szCs w:val="22"/>
        </w:rPr>
        <w:t>appropriate amount</w:t>
      </w:r>
      <w:r w:rsidR="001807BB">
        <w:rPr>
          <w:rFonts w:ascii="Book Antiqua" w:hAnsi="Book Antiqua"/>
          <w:i/>
          <w:sz w:val="22"/>
          <w:szCs w:val="22"/>
        </w:rPr>
        <w:t>”</w:t>
      </w:r>
      <w:r w:rsidRPr="0015400F">
        <w:rPr>
          <w:rFonts w:ascii="Book Antiqua" w:hAnsi="Book Antiqua"/>
          <w:i/>
          <w:sz w:val="22"/>
          <w:szCs w:val="22"/>
        </w:rPr>
        <w:t xml:space="preserve"> of affordable housing?</w:t>
      </w:r>
    </w:p>
    <w:p w14:paraId="0310610C" w14:textId="76309AA8" w:rsidR="006F6FA1" w:rsidRPr="0015400F" w:rsidRDefault="006F6FA1" w:rsidP="0015400F">
      <w:pPr>
        <w:spacing w:line="360" w:lineRule="auto"/>
        <w:rPr>
          <w:rFonts w:ascii="Book Antiqua" w:hAnsi="Book Antiqua"/>
          <w:sz w:val="22"/>
          <w:szCs w:val="22"/>
        </w:rPr>
      </w:pPr>
    </w:p>
    <w:p w14:paraId="41AA150B" w14:textId="46F396C2" w:rsidR="006F6FA1" w:rsidRPr="0015400F" w:rsidRDefault="006F6FA1" w:rsidP="0015400F">
      <w:pPr>
        <w:spacing w:line="360" w:lineRule="auto"/>
        <w:rPr>
          <w:rFonts w:ascii="Book Antiqua" w:hAnsi="Book Antiqua"/>
          <w:i/>
          <w:sz w:val="22"/>
          <w:szCs w:val="22"/>
        </w:rPr>
      </w:pPr>
      <w:r w:rsidRPr="0015400F">
        <w:rPr>
          <w:rFonts w:ascii="Book Antiqua" w:hAnsi="Book Antiqua"/>
          <w:i/>
          <w:sz w:val="22"/>
          <w:szCs w:val="22"/>
        </w:rPr>
        <w:t xml:space="preserve">Policy framework </w:t>
      </w:r>
    </w:p>
    <w:p w14:paraId="57B332C7" w14:textId="77777777" w:rsidR="006F6FA1" w:rsidRPr="0015400F" w:rsidRDefault="006F6FA1" w:rsidP="0015400F">
      <w:pPr>
        <w:spacing w:line="360" w:lineRule="auto"/>
        <w:rPr>
          <w:rFonts w:ascii="Book Antiqua" w:hAnsi="Book Antiqua"/>
          <w:i/>
          <w:sz w:val="22"/>
          <w:szCs w:val="22"/>
        </w:rPr>
      </w:pPr>
    </w:p>
    <w:p w14:paraId="3C32DFA9" w14:textId="27743B38" w:rsidR="006F6FA1" w:rsidRPr="0015400F" w:rsidRDefault="00071F8C" w:rsidP="00320655">
      <w:pPr>
        <w:pStyle w:val="ListParagraph"/>
        <w:numPr>
          <w:ilvl w:val="0"/>
          <w:numId w:val="5"/>
        </w:numPr>
        <w:spacing w:line="360" w:lineRule="auto"/>
        <w:jc w:val="both"/>
        <w:rPr>
          <w:rFonts w:ascii="Book Antiqua" w:hAnsi="Book Antiqua"/>
          <w:sz w:val="22"/>
          <w:szCs w:val="22"/>
        </w:rPr>
      </w:pPr>
      <w:r w:rsidRPr="0015400F">
        <w:rPr>
          <w:rFonts w:ascii="Book Antiqua" w:hAnsi="Book Antiqua"/>
          <w:sz w:val="22"/>
          <w:szCs w:val="22"/>
        </w:rPr>
        <w:t>D.H7 requires a developer</w:t>
      </w:r>
      <w:r w:rsidR="00151167">
        <w:rPr>
          <w:rFonts w:ascii="Book Antiqua" w:hAnsi="Book Antiqua"/>
          <w:sz w:val="22"/>
          <w:szCs w:val="22"/>
        </w:rPr>
        <w:t xml:space="preserve">, if they are </w:t>
      </w:r>
      <w:r w:rsidRPr="0015400F">
        <w:rPr>
          <w:rFonts w:ascii="Book Antiqua" w:hAnsi="Book Antiqua"/>
          <w:sz w:val="22"/>
          <w:szCs w:val="22"/>
        </w:rPr>
        <w:t xml:space="preserve">not bringing forward </w:t>
      </w:r>
      <w:r w:rsidR="00151167">
        <w:rPr>
          <w:rFonts w:ascii="Book Antiqua" w:hAnsi="Book Antiqua"/>
          <w:sz w:val="22"/>
          <w:szCs w:val="22"/>
        </w:rPr>
        <w:t xml:space="preserve">a </w:t>
      </w:r>
      <w:r w:rsidRPr="0015400F">
        <w:rPr>
          <w:rFonts w:ascii="Book Antiqua" w:hAnsi="Book Antiqua"/>
          <w:sz w:val="22"/>
          <w:szCs w:val="22"/>
        </w:rPr>
        <w:t>“low cost housing”</w:t>
      </w:r>
      <w:r w:rsidR="00151167">
        <w:rPr>
          <w:rFonts w:ascii="Book Antiqua" w:hAnsi="Book Antiqua"/>
          <w:sz w:val="22"/>
          <w:szCs w:val="22"/>
        </w:rPr>
        <w:t xml:space="preserve"> scheme, </w:t>
      </w:r>
      <w:r w:rsidRPr="0015400F">
        <w:rPr>
          <w:rFonts w:ascii="Book Antiqua" w:hAnsi="Book Antiqua"/>
          <w:sz w:val="22"/>
          <w:szCs w:val="22"/>
        </w:rPr>
        <w:t xml:space="preserve">to </w:t>
      </w:r>
      <w:r w:rsidR="006F6FA1" w:rsidRPr="0015400F">
        <w:rPr>
          <w:rFonts w:ascii="Book Antiqua" w:hAnsi="Book Antiqua"/>
          <w:sz w:val="22"/>
          <w:szCs w:val="22"/>
        </w:rPr>
        <w:t>provide “an appropriate amount of affordable housing”</w:t>
      </w:r>
      <w:r w:rsidRPr="0015400F">
        <w:rPr>
          <w:rFonts w:ascii="Book Antiqua" w:hAnsi="Book Antiqua"/>
          <w:sz w:val="22"/>
          <w:szCs w:val="22"/>
        </w:rPr>
        <w:t>. This</w:t>
      </w:r>
      <w:r w:rsidR="006F6FA1" w:rsidRPr="0015400F">
        <w:rPr>
          <w:rFonts w:ascii="Book Antiqua" w:hAnsi="Book Antiqua"/>
          <w:sz w:val="22"/>
          <w:szCs w:val="22"/>
        </w:rPr>
        <w:t xml:space="preserve"> engages the affordable housing requirements in Local Plan policies S.H1 and D.H2.</w:t>
      </w:r>
      <w:r w:rsidR="006F6FA1" w:rsidRPr="0015400F">
        <w:rPr>
          <w:rStyle w:val="FootnoteReference"/>
          <w:rFonts w:ascii="Book Antiqua" w:hAnsi="Book Antiqua"/>
          <w:sz w:val="22"/>
          <w:szCs w:val="22"/>
        </w:rPr>
        <w:footnoteReference w:id="22"/>
      </w:r>
      <w:r w:rsidR="006F6FA1" w:rsidRPr="0015400F">
        <w:rPr>
          <w:rFonts w:ascii="Book Antiqua" w:hAnsi="Book Antiqua"/>
          <w:sz w:val="22"/>
          <w:szCs w:val="22"/>
        </w:rPr>
        <w:t xml:space="preserve"> </w:t>
      </w:r>
    </w:p>
    <w:p w14:paraId="06BB3A94" w14:textId="77777777" w:rsidR="006F6FA1" w:rsidRPr="0015400F" w:rsidRDefault="006F6FA1" w:rsidP="0015400F">
      <w:pPr>
        <w:pStyle w:val="ListParagraph"/>
        <w:spacing w:line="360" w:lineRule="auto"/>
        <w:rPr>
          <w:rFonts w:ascii="Book Antiqua" w:hAnsi="Book Antiqua"/>
          <w:sz w:val="22"/>
          <w:szCs w:val="22"/>
        </w:rPr>
      </w:pPr>
    </w:p>
    <w:p w14:paraId="6C39DE41" w14:textId="5D719220" w:rsidR="006F6FA1" w:rsidRPr="0015400F" w:rsidRDefault="006F6FA1" w:rsidP="00320655">
      <w:pPr>
        <w:pStyle w:val="ListParagraph"/>
        <w:numPr>
          <w:ilvl w:val="0"/>
          <w:numId w:val="5"/>
        </w:numPr>
        <w:spacing w:line="360" w:lineRule="auto"/>
        <w:jc w:val="both"/>
        <w:rPr>
          <w:rFonts w:ascii="Book Antiqua" w:hAnsi="Book Antiqua"/>
          <w:sz w:val="22"/>
          <w:szCs w:val="22"/>
        </w:rPr>
      </w:pPr>
      <w:r w:rsidRPr="0015400F">
        <w:rPr>
          <w:rFonts w:ascii="Book Antiqua" w:hAnsi="Book Antiqua"/>
          <w:sz w:val="22"/>
          <w:szCs w:val="22"/>
        </w:rPr>
        <w:t>Those policies seek affordable housing contributions from all residential developments</w:t>
      </w:r>
      <w:r w:rsidR="00071F8C" w:rsidRPr="0015400F">
        <w:rPr>
          <w:rFonts w:ascii="Book Antiqua" w:hAnsi="Book Antiqua"/>
          <w:sz w:val="22"/>
          <w:szCs w:val="22"/>
        </w:rPr>
        <w:t xml:space="preserve">, </w:t>
      </w:r>
      <w:r w:rsidRPr="0015400F">
        <w:rPr>
          <w:rFonts w:ascii="Book Antiqua" w:hAnsi="Book Antiqua"/>
          <w:sz w:val="22"/>
          <w:szCs w:val="22"/>
        </w:rPr>
        <w:t xml:space="preserve">including small sites </w:t>
      </w:r>
      <w:r w:rsidR="00151167">
        <w:rPr>
          <w:rFonts w:ascii="Book Antiqua" w:hAnsi="Book Antiqua"/>
          <w:sz w:val="22"/>
          <w:szCs w:val="22"/>
        </w:rPr>
        <w:t>(</w:t>
      </w:r>
      <w:r w:rsidRPr="0015400F">
        <w:rPr>
          <w:rFonts w:ascii="Book Antiqua" w:hAnsi="Book Antiqua"/>
          <w:sz w:val="22"/>
          <w:szCs w:val="22"/>
        </w:rPr>
        <w:t>2 to 9 new residential units</w:t>
      </w:r>
      <w:r w:rsidR="00151167">
        <w:rPr>
          <w:rFonts w:ascii="Book Antiqua" w:hAnsi="Book Antiqua"/>
          <w:sz w:val="22"/>
          <w:szCs w:val="22"/>
        </w:rPr>
        <w:t>)</w:t>
      </w:r>
      <w:r w:rsidR="00071F8C" w:rsidRPr="0015400F">
        <w:rPr>
          <w:rFonts w:ascii="Book Antiqua" w:hAnsi="Book Antiqua"/>
          <w:sz w:val="22"/>
          <w:szCs w:val="22"/>
        </w:rPr>
        <w:t xml:space="preserve">. </w:t>
      </w:r>
      <w:r w:rsidR="00151167">
        <w:rPr>
          <w:rFonts w:ascii="Book Antiqua" w:hAnsi="Book Antiqua"/>
          <w:sz w:val="22"/>
          <w:szCs w:val="22"/>
        </w:rPr>
        <w:t>S</w:t>
      </w:r>
      <w:r w:rsidRPr="0015400F">
        <w:rPr>
          <w:rFonts w:ascii="Book Antiqua" w:hAnsi="Book Antiqua"/>
          <w:sz w:val="22"/>
          <w:szCs w:val="22"/>
        </w:rPr>
        <w:t xml:space="preserve">ites providing 10 or more new residential units require the provision of a minimum 35% affordable housing, subject to viability.  </w:t>
      </w:r>
    </w:p>
    <w:p w14:paraId="6492FA57" w14:textId="77777777" w:rsidR="006F6FA1" w:rsidRPr="0015400F" w:rsidRDefault="006F6FA1" w:rsidP="0015400F">
      <w:pPr>
        <w:pStyle w:val="ListParagraph"/>
        <w:spacing w:line="360" w:lineRule="auto"/>
        <w:rPr>
          <w:rFonts w:ascii="Book Antiqua" w:hAnsi="Book Antiqua"/>
          <w:sz w:val="22"/>
          <w:szCs w:val="22"/>
        </w:rPr>
      </w:pPr>
    </w:p>
    <w:p w14:paraId="550C9A3C" w14:textId="197B1BF2" w:rsidR="004E4565" w:rsidRPr="00151167" w:rsidRDefault="00071F8C" w:rsidP="00320655">
      <w:pPr>
        <w:pStyle w:val="ListParagraph"/>
        <w:numPr>
          <w:ilvl w:val="0"/>
          <w:numId w:val="5"/>
        </w:numPr>
        <w:spacing w:line="360" w:lineRule="auto"/>
        <w:jc w:val="both"/>
        <w:rPr>
          <w:rFonts w:ascii="Book Antiqua" w:hAnsi="Book Antiqua"/>
          <w:sz w:val="22"/>
          <w:szCs w:val="22"/>
        </w:rPr>
      </w:pPr>
      <w:r w:rsidRPr="0015400F">
        <w:rPr>
          <w:rFonts w:ascii="Book Antiqua" w:hAnsi="Book Antiqua"/>
          <w:sz w:val="22"/>
          <w:szCs w:val="22"/>
        </w:rPr>
        <w:t xml:space="preserve">Development is required to </w:t>
      </w:r>
      <w:r w:rsidRPr="002F3AB4">
        <w:rPr>
          <w:rFonts w:ascii="Book Antiqua" w:hAnsi="Book Antiqua"/>
          <w:sz w:val="22"/>
          <w:szCs w:val="22"/>
        </w:rPr>
        <w:t>“maximise”</w:t>
      </w:r>
      <w:r w:rsidRPr="0015400F">
        <w:rPr>
          <w:rFonts w:ascii="Book Antiqua" w:hAnsi="Book Antiqua"/>
          <w:sz w:val="22"/>
          <w:szCs w:val="22"/>
        </w:rPr>
        <w:t xml:space="preserve"> the provision of affordable housing.</w:t>
      </w:r>
      <w:r w:rsidRPr="0015400F">
        <w:rPr>
          <w:rStyle w:val="FootnoteReference"/>
          <w:rFonts w:ascii="Book Antiqua" w:hAnsi="Book Antiqua"/>
          <w:sz w:val="22"/>
          <w:szCs w:val="22"/>
        </w:rPr>
        <w:footnoteReference w:id="23"/>
      </w:r>
      <w:r w:rsidRPr="0015400F">
        <w:rPr>
          <w:rFonts w:ascii="Book Antiqua" w:hAnsi="Book Antiqua"/>
          <w:sz w:val="22"/>
          <w:szCs w:val="22"/>
        </w:rPr>
        <w:t xml:space="preserve"> </w:t>
      </w:r>
      <w:r w:rsidR="006F6FA1" w:rsidRPr="0015400F">
        <w:rPr>
          <w:rFonts w:ascii="Book Antiqua" w:hAnsi="Book Antiqua"/>
          <w:sz w:val="22"/>
          <w:szCs w:val="22"/>
        </w:rPr>
        <w:t xml:space="preserve">Lower levels of affordable housing are only acceptable </w:t>
      </w:r>
      <w:r w:rsidRPr="0015400F">
        <w:rPr>
          <w:rFonts w:ascii="Book Antiqua" w:hAnsi="Book Antiqua"/>
          <w:sz w:val="22"/>
          <w:szCs w:val="22"/>
        </w:rPr>
        <w:t>where this is “robustly justified” through viability evidence.</w:t>
      </w:r>
      <w:r w:rsidRPr="0015400F">
        <w:rPr>
          <w:rStyle w:val="FootnoteReference"/>
          <w:rFonts w:ascii="Book Antiqua" w:hAnsi="Book Antiqua"/>
          <w:sz w:val="22"/>
          <w:szCs w:val="22"/>
        </w:rPr>
        <w:footnoteReference w:id="24"/>
      </w:r>
      <w:r w:rsidRPr="0015400F">
        <w:rPr>
          <w:rFonts w:ascii="Book Antiqua" w:hAnsi="Book Antiqua"/>
          <w:sz w:val="22"/>
          <w:szCs w:val="22"/>
        </w:rPr>
        <w:t xml:space="preserve"> </w:t>
      </w:r>
      <w:r w:rsidR="00151167">
        <w:rPr>
          <w:rFonts w:ascii="Book Antiqua" w:hAnsi="Book Antiqua"/>
          <w:sz w:val="22"/>
          <w:szCs w:val="22"/>
        </w:rPr>
        <w:t xml:space="preserve"> </w:t>
      </w:r>
      <w:r w:rsidR="004E4565" w:rsidRPr="00151167">
        <w:rPr>
          <w:rFonts w:ascii="Book Antiqua" w:hAnsi="Book Antiqua"/>
          <w:sz w:val="22"/>
          <w:szCs w:val="22"/>
        </w:rPr>
        <w:t xml:space="preserve">There is thus a strong policy imperative to ensure the maximum reasonable provision with the strategic targets in mind. This imperative exists against a background of “acute need” in </w:t>
      </w:r>
      <w:r w:rsidR="00C50931" w:rsidRPr="00151167">
        <w:rPr>
          <w:rFonts w:ascii="Book Antiqua" w:hAnsi="Book Antiqua"/>
          <w:sz w:val="22"/>
          <w:szCs w:val="22"/>
        </w:rPr>
        <w:t xml:space="preserve">Tower Hamlets </w:t>
      </w:r>
      <w:r w:rsidR="00BD7727">
        <w:rPr>
          <w:rFonts w:ascii="Book Antiqua" w:hAnsi="Book Antiqua"/>
          <w:sz w:val="22"/>
          <w:szCs w:val="22"/>
        </w:rPr>
        <w:t xml:space="preserve">particularly </w:t>
      </w:r>
      <w:r w:rsidR="004E4565" w:rsidRPr="00151167">
        <w:rPr>
          <w:rFonts w:ascii="Book Antiqua" w:hAnsi="Book Antiqua"/>
          <w:sz w:val="22"/>
          <w:szCs w:val="22"/>
        </w:rPr>
        <w:t>for affordable housing.</w:t>
      </w:r>
      <w:r w:rsidR="004E4565" w:rsidRPr="0015400F">
        <w:rPr>
          <w:rStyle w:val="FootnoteReference"/>
          <w:rFonts w:ascii="Book Antiqua" w:hAnsi="Book Antiqua"/>
          <w:sz w:val="22"/>
          <w:szCs w:val="22"/>
        </w:rPr>
        <w:footnoteReference w:id="25"/>
      </w:r>
    </w:p>
    <w:p w14:paraId="5C660562" w14:textId="03B43F2F" w:rsidR="004E4565" w:rsidRDefault="004E4565" w:rsidP="00151167">
      <w:pPr>
        <w:spacing w:line="360" w:lineRule="auto"/>
        <w:rPr>
          <w:rFonts w:ascii="Book Antiqua" w:hAnsi="Book Antiqua"/>
          <w:sz w:val="22"/>
          <w:szCs w:val="22"/>
        </w:rPr>
      </w:pPr>
    </w:p>
    <w:p w14:paraId="34E8A213" w14:textId="4A1D0A6E" w:rsidR="00151167" w:rsidRDefault="00151167" w:rsidP="00151167">
      <w:pPr>
        <w:spacing w:line="360" w:lineRule="auto"/>
        <w:rPr>
          <w:rFonts w:ascii="Book Antiqua" w:hAnsi="Book Antiqua"/>
          <w:i/>
          <w:sz w:val="22"/>
          <w:szCs w:val="22"/>
        </w:rPr>
      </w:pPr>
      <w:r>
        <w:rPr>
          <w:rFonts w:ascii="Book Antiqua" w:hAnsi="Book Antiqua"/>
          <w:i/>
          <w:sz w:val="22"/>
          <w:szCs w:val="22"/>
        </w:rPr>
        <w:t>Affordable housing main issues</w:t>
      </w:r>
    </w:p>
    <w:p w14:paraId="57260643" w14:textId="77777777" w:rsidR="00151167" w:rsidRPr="00151167" w:rsidRDefault="00151167" w:rsidP="00151167">
      <w:pPr>
        <w:spacing w:line="360" w:lineRule="auto"/>
        <w:rPr>
          <w:rFonts w:ascii="Book Antiqua" w:hAnsi="Book Antiqua"/>
          <w:i/>
          <w:sz w:val="22"/>
          <w:szCs w:val="22"/>
        </w:rPr>
      </w:pPr>
    </w:p>
    <w:p w14:paraId="68CB0C2F" w14:textId="00EAA1BD" w:rsidR="00151167" w:rsidRDefault="00151167" w:rsidP="00320655">
      <w:pPr>
        <w:pStyle w:val="ListParagraph"/>
        <w:numPr>
          <w:ilvl w:val="0"/>
          <w:numId w:val="5"/>
        </w:numPr>
        <w:spacing w:line="360" w:lineRule="auto"/>
        <w:jc w:val="both"/>
        <w:rPr>
          <w:rFonts w:ascii="Book Antiqua" w:hAnsi="Book Antiqua"/>
          <w:sz w:val="22"/>
          <w:szCs w:val="22"/>
        </w:rPr>
      </w:pPr>
      <w:r w:rsidRPr="00151167">
        <w:rPr>
          <w:rFonts w:ascii="Book Antiqua" w:hAnsi="Book Antiqua"/>
          <w:sz w:val="22"/>
          <w:szCs w:val="22"/>
        </w:rPr>
        <w:t>The Appellant</w:t>
      </w:r>
      <w:r w:rsidR="00BD7727">
        <w:rPr>
          <w:rFonts w:ascii="Book Antiqua" w:hAnsi="Book Antiqua"/>
          <w:sz w:val="22"/>
          <w:szCs w:val="22"/>
        </w:rPr>
        <w:t xml:space="preserve"> says its scheme </w:t>
      </w:r>
      <w:r w:rsidRPr="00151167">
        <w:rPr>
          <w:rFonts w:ascii="Book Antiqua" w:hAnsi="Book Antiqua"/>
          <w:sz w:val="22"/>
          <w:szCs w:val="22"/>
        </w:rPr>
        <w:t xml:space="preserve">provides an appropriate amount of affordable housing. On its viability case, </w:t>
      </w:r>
      <w:r>
        <w:rPr>
          <w:rFonts w:ascii="Book Antiqua" w:hAnsi="Book Antiqua"/>
          <w:sz w:val="22"/>
          <w:szCs w:val="22"/>
        </w:rPr>
        <w:t xml:space="preserve">the appeal scheme </w:t>
      </w:r>
      <w:r w:rsidRPr="00151167">
        <w:rPr>
          <w:rFonts w:ascii="Book Antiqua" w:hAnsi="Book Antiqua"/>
          <w:sz w:val="22"/>
          <w:szCs w:val="22"/>
        </w:rPr>
        <w:t xml:space="preserve">does not provide </w:t>
      </w:r>
      <w:r w:rsidRPr="00151167">
        <w:rPr>
          <w:rFonts w:ascii="Book Antiqua" w:hAnsi="Book Antiqua"/>
          <w:i/>
          <w:sz w:val="22"/>
          <w:szCs w:val="22"/>
        </w:rPr>
        <w:t>any</w:t>
      </w:r>
      <w:r w:rsidRPr="00151167">
        <w:rPr>
          <w:rFonts w:ascii="Book Antiqua" w:hAnsi="Book Antiqua"/>
          <w:sz w:val="22"/>
          <w:szCs w:val="22"/>
        </w:rPr>
        <w:t xml:space="preserve"> affordable housing.</w:t>
      </w:r>
      <w:r>
        <w:rPr>
          <w:rStyle w:val="FootnoteReference"/>
          <w:rFonts w:ascii="Book Antiqua" w:hAnsi="Book Antiqua"/>
          <w:sz w:val="22"/>
          <w:szCs w:val="22"/>
        </w:rPr>
        <w:footnoteReference w:id="26"/>
      </w:r>
    </w:p>
    <w:p w14:paraId="5C3B1714" w14:textId="77777777" w:rsidR="00151167" w:rsidRPr="00151167" w:rsidRDefault="00151167" w:rsidP="00151167">
      <w:pPr>
        <w:pStyle w:val="ListParagraph"/>
        <w:spacing w:line="360" w:lineRule="auto"/>
        <w:jc w:val="both"/>
        <w:rPr>
          <w:rFonts w:ascii="Book Antiqua" w:hAnsi="Book Antiqua"/>
          <w:sz w:val="22"/>
          <w:szCs w:val="22"/>
        </w:rPr>
      </w:pPr>
    </w:p>
    <w:p w14:paraId="0981C341" w14:textId="1870D680" w:rsidR="00E80E3B" w:rsidRPr="0015400F" w:rsidRDefault="00E80E3B" w:rsidP="00E80E3B">
      <w:pPr>
        <w:pStyle w:val="ListParagraph"/>
        <w:numPr>
          <w:ilvl w:val="0"/>
          <w:numId w:val="5"/>
        </w:numPr>
        <w:spacing w:line="360" w:lineRule="auto"/>
        <w:jc w:val="both"/>
        <w:rPr>
          <w:rFonts w:ascii="Book Antiqua" w:hAnsi="Book Antiqua"/>
          <w:sz w:val="22"/>
          <w:szCs w:val="22"/>
        </w:rPr>
      </w:pPr>
      <w:r w:rsidRPr="00151167">
        <w:rPr>
          <w:rFonts w:ascii="Book Antiqua" w:hAnsi="Book Antiqua"/>
          <w:sz w:val="22"/>
          <w:szCs w:val="22"/>
        </w:rPr>
        <w:t xml:space="preserve">At the application stage, the Appellant argued that its scheme produced a deficit of </w:t>
      </w:r>
      <w:r>
        <w:rPr>
          <w:rFonts w:ascii="Book Antiqua" w:hAnsi="Book Antiqua"/>
          <w:sz w:val="22"/>
          <w:szCs w:val="22"/>
        </w:rPr>
        <w:t>£6.29 million</w:t>
      </w:r>
      <w:r>
        <w:rPr>
          <w:rStyle w:val="FootnoteReference"/>
          <w:rFonts w:ascii="Book Antiqua" w:hAnsi="Book Antiqua"/>
          <w:sz w:val="22"/>
          <w:szCs w:val="22"/>
        </w:rPr>
        <w:footnoteReference w:id="27"/>
      </w:r>
      <w:r>
        <w:rPr>
          <w:rFonts w:ascii="Book Antiqua" w:hAnsi="Book Antiqua"/>
          <w:sz w:val="22"/>
          <w:szCs w:val="22"/>
        </w:rPr>
        <w:t>, which wiped out the notional profit included in the appraisal, resulting in an overall loss of £2.5 million</w:t>
      </w:r>
      <w:r w:rsidRPr="00151167">
        <w:rPr>
          <w:rFonts w:ascii="Book Antiqua" w:hAnsi="Book Antiqua"/>
          <w:sz w:val="22"/>
          <w:szCs w:val="22"/>
        </w:rPr>
        <w:t xml:space="preserve">. It now says </w:t>
      </w:r>
      <w:r>
        <w:rPr>
          <w:rFonts w:ascii="Book Antiqua" w:hAnsi="Book Antiqua"/>
          <w:sz w:val="22"/>
          <w:szCs w:val="22"/>
        </w:rPr>
        <w:t>that</w:t>
      </w:r>
      <w:r w:rsidR="00BD7727">
        <w:rPr>
          <w:rFonts w:ascii="Book Antiqua" w:hAnsi="Book Antiqua"/>
          <w:sz w:val="22"/>
          <w:szCs w:val="22"/>
        </w:rPr>
        <w:t xml:space="preserve"> whilst</w:t>
      </w:r>
      <w:r>
        <w:rPr>
          <w:rFonts w:ascii="Book Antiqua" w:hAnsi="Book Antiqua"/>
          <w:sz w:val="22"/>
          <w:szCs w:val="22"/>
        </w:rPr>
        <w:t xml:space="preserve"> the deficit is reduced to £2.41 million, and this would result in the notional profit being reduced from the target of 15% to around 5%</w:t>
      </w:r>
      <w:r w:rsidR="00BD7727">
        <w:rPr>
          <w:rFonts w:ascii="Book Antiqua" w:hAnsi="Book Antiqua"/>
          <w:sz w:val="22"/>
          <w:szCs w:val="22"/>
        </w:rPr>
        <w:t xml:space="preserve"> </w:t>
      </w:r>
      <w:r w:rsidRPr="00151167">
        <w:rPr>
          <w:rFonts w:ascii="Book Antiqua" w:hAnsi="Book Antiqua"/>
          <w:sz w:val="22"/>
          <w:szCs w:val="22"/>
        </w:rPr>
        <w:t>and, therefore, it cannot viably provide any affordable housing.</w:t>
      </w:r>
      <w:r w:rsidRPr="0015400F">
        <w:rPr>
          <w:rFonts w:ascii="Book Antiqua" w:hAnsi="Book Antiqua"/>
          <w:sz w:val="22"/>
          <w:szCs w:val="22"/>
        </w:rPr>
        <w:t xml:space="preserve"> That claim requires robust justification. It is well-established that the evidential burden for demonstrating that the proposed scheme provides</w:t>
      </w:r>
      <w:r>
        <w:rPr>
          <w:rFonts w:ascii="Book Antiqua" w:hAnsi="Book Antiqua"/>
          <w:sz w:val="22"/>
          <w:szCs w:val="22"/>
        </w:rPr>
        <w:t xml:space="preserve"> “an appropriate amount” of </w:t>
      </w:r>
      <w:r w:rsidRPr="0015400F">
        <w:rPr>
          <w:rFonts w:ascii="Book Antiqua" w:hAnsi="Book Antiqua"/>
          <w:sz w:val="22"/>
          <w:szCs w:val="22"/>
        </w:rPr>
        <w:t>affordable housing lies with the Appellant.</w:t>
      </w:r>
      <w:r w:rsidRPr="0015400F">
        <w:rPr>
          <w:rStyle w:val="FootnoteReference"/>
          <w:rFonts w:ascii="Book Antiqua" w:hAnsi="Book Antiqua"/>
          <w:sz w:val="22"/>
          <w:szCs w:val="22"/>
        </w:rPr>
        <w:footnoteReference w:id="28"/>
      </w:r>
      <w:r w:rsidRPr="0015400F">
        <w:rPr>
          <w:rFonts w:ascii="Book Antiqua" w:hAnsi="Book Antiqua"/>
          <w:sz w:val="22"/>
          <w:szCs w:val="22"/>
        </w:rPr>
        <w:t xml:space="preserve"> </w:t>
      </w:r>
    </w:p>
    <w:p w14:paraId="7BC26B3B" w14:textId="77777777" w:rsidR="0028732B" w:rsidRPr="0015400F" w:rsidRDefault="0028732B" w:rsidP="0015400F">
      <w:pPr>
        <w:pStyle w:val="ListParagraph"/>
        <w:spacing w:line="360" w:lineRule="auto"/>
        <w:rPr>
          <w:sz w:val="22"/>
          <w:szCs w:val="22"/>
        </w:rPr>
      </w:pPr>
    </w:p>
    <w:p w14:paraId="4E7CD071" w14:textId="0225DC94" w:rsidR="00C50931" w:rsidRPr="002F3AB4" w:rsidRDefault="0028732B" w:rsidP="002F3AB4">
      <w:pPr>
        <w:pStyle w:val="ListParagraph"/>
        <w:numPr>
          <w:ilvl w:val="0"/>
          <w:numId w:val="5"/>
        </w:numPr>
        <w:spacing w:line="360" w:lineRule="auto"/>
        <w:jc w:val="both"/>
        <w:rPr>
          <w:sz w:val="22"/>
          <w:szCs w:val="22"/>
        </w:rPr>
      </w:pPr>
      <w:r w:rsidRPr="0015400F">
        <w:rPr>
          <w:rFonts w:ascii="Book Antiqua" w:hAnsi="Book Antiqua"/>
          <w:sz w:val="22"/>
          <w:szCs w:val="22"/>
        </w:rPr>
        <w:t>The main matters in dispute in respect of viability are:</w:t>
      </w:r>
    </w:p>
    <w:p w14:paraId="4F24A9D0" w14:textId="2708CD8B" w:rsidR="00C50931" w:rsidRPr="0015400F" w:rsidRDefault="0028732B" w:rsidP="0015400F">
      <w:pPr>
        <w:pStyle w:val="ListParagraph"/>
        <w:numPr>
          <w:ilvl w:val="1"/>
          <w:numId w:val="11"/>
        </w:numPr>
        <w:spacing w:line="360" w:lineRule="auto"/>
        <w:jc w:val="both"/>
        <w:rPr>
          <w:rFonts w:ascii="Book Antiqua" w:hAnsi="Book Antiqua"/>
          <w:sz w:val="22"/>
          <w:szCs w:val="22"/>
        </w:rPr>
      </w:pPr>
      <w:r w:rsidRPr="002F3AB4">
        <w:rPr>
          <w:rFonts w:ascii="Book Antiqua" w:hAnsi="Book Antiqua"/>
          <w:sz w:val="22"/>
          <w:szCs w:val="22"/>
          <w:u w:val="single"/>
        </w:rPr>
        <w:t>Development values</w:t>
      </w:r>
      <w:r w:rsidRPr="0015400F">
        <w:rPr>
          <w:rFonts w:ascii="Book Antiqua" w:hAnsi="Book Antiqua"/>
          <w:sz w:val="22"/>
          <w:szCs w:val="22"/>
        </w:rPr>
        <w:t xml:space="preserve"> – </w:t>
      </w:r>
      <w:r w:rsidR="00C50931" w:rsidRPr="0015400F">
        <w:rPr>
          <w:rFonts w:ascii="Book Antiqua" w:hAnsi="Book Antiqua"/>
          <w:sz w:val="22"/>
          <w:szCs w:val="22"/>
        </w:rPr>
        <w:t xml:space="preserve">the </w:t>
      </w:r>
      <w:r w:rsidRPr="0015400F">
        <w:rPr>
          <w:rFonts w:ascii="Book Antiqua" w:hAnsi="Book Antiqua"/>
          <w:sz w:val="22"/>
          <w:szCs w:val="22"/>
        </w:rPr>
        <w:t xml:space="preserve">Gross Development Value (GDV) of </w:t>
      </w:r>
      <w:r w:rsidR="00900B42" w:rsidRPr="0015400F">
        <w:rPr>
          <w:rFonts w:ascii="Book Antiqua" w:hAnsi="Book Antiqua"/>
          <w:sz w:val="22"/>
          <w:szCs w:val="22"/>
        </w:rPr>
        <w:t>(</w:t>
      </w:r>
      <w:r w:rsidR="00151167">
        <w:rPr>
          <w:rFonts w:ascii="Book Antiqua" w:hAnsi="Book Antiqua"/>
          <w:sz w:val="22"/>
          <w:szCs w:val="22"/>
        </w:rPr>
        <w:t>i</w:t>
      </w:r>
      <w:r w:rsidR="00900B42" w:rsidRPr="0015400F">
        <w:rPr>
          <w:rFonts w:ascii="Book Antiqua" w:hAnsi="Book Antiqua"/>
          <w:sz w:val="22"/>
          <w:szCs w:val="22"/>
        </w:rPr>
        <w:t>)</w:t>
      </w:r>
      <w:r w:rsidR="00C50931" w:rsidRPr="0015400F">
        <w:rPr>
          <w:rFonts w:ascii="Book Antiqua" w:hAnsi="Book Antiqua"/>
          <w:sz w:val="22"/>
          <w:szCs w:val="22"/>
        </w:rPr>
        <w:t xml:space="preserve"> hostel </w:t>
      </w:r>
      <w:r w:rsidR="00900B42" w:rsidRPr="0015400F">
        <w:rPr>
          <w:rFonts w:ascii="Book Antiqua" w:hAnsi="Book Antiqua"/>
          <w:sz w:val="22"/>
          <w:szCs w:val="22"/>
        </w:rPr>
        <w:t>element (difference of c. £1.86million)</w:t>
      </w:r>
      <w:r w:rsidR="00151167">
        <w:rPr>
          <w:rFonts w:ascii="Book Antiqua" w:hAnsi="Book Antiqua"/>
          <w:sz w:val="22"/>
          <w:szCs w:val="22"/>
        </w:rPr>
        <w:t>;</w:t>
      </w:r>
      <w:r w:rsidR="00900B42" w:rsidRPr="0015400F">
        <w:rPr>
          <w:rFonts w:ascii="Book Antiqua" w:hAnsi="Book Antiqua"/>
          <w:sz w:val="22"/>
          <w:szCs w:val="22"/>
        </w:rPr>
        <w:t xml:space="preserve"> </w:t>
      </w:r>
      <w:r w:rsidR="00C50931" w:rsidRPr="0015400F">
        <w:rPr>
          <w:rFonts w:ascii="Book Antiqua" w:hAnsi="Book Antiqua"/>
          <w:sz w:val="22"/>
          <w:szCs w:val="22"/>
        </w:rPr>
        <w:t xml:space="preserve">and </w:t>
      </w:r>
      <w:r w:rsidR="00900B42" w:rsidRPr="0015400F">
        <w:rPr>
          <w:rFonts w:ascii="Book Antiqua" w:hAnsi="Book Antiqua"/>
          <w:sz w:val="22"/>
          <w:szCs w:val="22"/>
        </w:rPr>
        <w:t>(</w:t>
      </w:r>
      <w:r w:rsidR="00151167">
        <w:rPr>
          <w:rFonts w:ascii="Book Antiqua" w:hAnsi="Book Antiqua"/>
          <w:sz w:val="22"/>
          <w:szCs w:val="22"/>
        </w:rPr>
        <w:t>ii</w:t>
      </w:r>
      <w:r w:rsidR="00900B42" w:rsidRPr="0015400F">
        <w:rPr>
          <w:rFonts w:ascii="Book Antiqua" w:hAnsi="Book Antiqua"/>
          <w:sz w:val="22"/>
          <w:szCs w:val="22"/>
        </w:rPr>
        <w:t xml:space="preserve">) </w:t>
      </w:r>
      <w:r w:rsidR="00C50931" w:rsidRPr="0015400F">
        <w:rPr>
          <w:rFonts w:ascii="Book Antiqua" w:hAnsi="Book Antiqua"/>
          <w:sz w:val="22"/>
          <w:szCs w:val="22"/>
        </w:rPr>
        <w:t>HMO elements of the scheme</w:t>
      </w:r>
      <w:r w:rsidR="00900B42" w:rsidRPr="0015400F">
        <w:rPr>
          <w:rFonts w:ascii="Book Antiqua" w:hAnsi="Book Antiqua"/>
          <w:sz w:val="22"/>
          <w:szCs w:val="22"/>
        </w:rPr>
        <w:t xml:space="preserve"> (difference of c. £8.3million)</w:t>
      </w:r>
      <w:r w:rsidRPr="0015400F">
        <w:rPr>
          <w:rFonts w:ascii="Book Antiqua" w:hAnsi="Book Antiqua"/>
          <w:sz w:val="22"/>
          <w:szCs w:val="22"/>
        </w:rPr>
        <w:t>.</w:t>
      </w:r>
    </w:p>
    <w:p w14:paraId="010B36DF" w14:textId="18CE29A2" w:rsidR="00C50931" w:rsidRPr="0015400F" w:rsidRDefault="00C50931" w:rsidP="0015400F">
      <w:pPr>
        <w:pStyle w:val="ListParagraph"/>
        <w:numPr>
          <w:ilvl w:val="1"/>
          <w:numId w:val="11"/>
        </w:numPr>
        <w:spacing w:line="360" w:lineRule="auto"/>
        <w:jc w:val="both"/>
        <w:rPr>
          <w:rFonts w:ascii="Book Antiqua" w:hAnsi="Book Antiqua"/>
          <w:sz w:val="22"/>
          <w:szCs w:val="22"/>
        </w:rPr>
      </w:pPr>
      <w:r w:rsidRPr="002F3AB4">
        <w:rPr>
          <w:rFonts w:ascii="Book Antiqua" w:hAnsi="Book Antiqua"/>
          <w:sz w:val="22"/>
          <w:szCs w:val="22"/>
          <w:u w:val="single"/>
        </w:rPr>
        <w:t>Build costs</w:t>
      </w:r>
      <w:r w:rsidR="00900B42" w:rsidRPr="0015400F">
        <w:rPr>
          <w:rFonts w:ascii="Book Antiqua" w:hAnsi="Book Antiqua"/>
          <w:sz w:val="22"/>
          <w:szCs w:val="22"/>
        </w:rPr>
        <w:t xml:space="preserve"> – (difference of c. £851,883);</w:t>
      </w:r>
    </w:p>
    <w:p w14:paraId="7E545386" w14:textId="5E70DD46" w:rsidR="00C50931" w:rsidRPr="0015400F" w:rsidRDefault="00C50931" w:rsidP="0015400F">
      <w:pPr>
        <w:pStyle w:val="ListParagraph"/>
        <w:numPr>
          <w:ilvl w:val="1"/>
          <w:numId w:val="11"/>
        </w:numPr>
        <w:spacing w:line="360" w:lineRule="auto"/>
        <w:jc w:val="both"/>
        <w:rPr>
          <w:rFonts w:ascii="Book Antiqua" w:hAnsi="Book Antiqua"/>
          <w:sz w:val="22"/>
          <w:szCs w:val="22"/>
        </w:rPr>
      </w:pPr>
      <w:r w:rsidRPr="002F3AB4">
        <w:rPr>
          <w:rFonts w:ascii="Book Antiqua" w:hAnsi="Book Antiqua"/>
          <w:sz w:val="22"/>
          <w:szCs w:val="22"/>
          <w:u w:val="single"/>
        </w:rPr>
        <w:t>Finance rate</w:t>
      </w:r>
      <w:r w:rsidR="00900B42" w:rsidRPr="0015400F">
        <w:rPr>
          <w:rFonts w:ascii="Book Antiqua" w:hAnsi="Book Antiqua"/>
          <w:sz w:val="22"/>
          <w:szCs w:val="22"/>
        </w:rPr>
        <w:t>;</w:t>
      </w:r>
    </w:p>
    <w:p w14:paraId="48FD0FCF" w14:textId="167D8FFB" w:rsidR="00C50931" w:rsidRPr="0015400F" w:rsidRDefault="00C50931" w:rsidP="0015400F">
      <w:pPr>
        <w:pStyle w:val="ListParagraph"/>
        <w:numPr>
          <w:ilvl w:val="1"/>
          <w:numId w:val="11"/>
        </w:numPr>
        <w:spacing w:line="360" w:lineRule="auto"/>
        <w:jc w:val="both"/>
        <w:rPr>
          <w:rFonts w:ascii="Book Antiqua" w:hAnsi="Book Antiqua"/>
          <w:sz w:val="22"/>
          <w:szCs w:val="22"/>
        </w:rPr>
      </w:pPr>
      <w:r w:rsidRPr="002F3AB4">
        <w:rPr>
          <w:rFonts w:ascii="Book Antiqua" w:hAnsi="Book Antiqua"/>
          <w:sz w:val="22"/>
          <w:szCs w:val="22"/>
          <w:u w:val="single"/>
        </w:rPr>
        <w:t>Value attributed to food and beverage revenue</w:t>
      </w:r>
      <w:r w:rsidR="00900B42" w:rsidRPr="0015400F">
        <w:rPr>
          <w:rFonts w:ascii="Book Antiqua" w:hAnsi="Book Antiqua"/>
          <w:sz w:val="22"/>
          <w:szCs w:val="22"/>
        </w:rPr>
        <w:t xml:space="preserve"> (difference £452,941) </w:t>
      </w:r>
      <w:r w:rsidRPr="0015400F">
        <w:rPr>
          <w:rFonts w:ascii="Book Antiqua" w:hAnsi="Book Antiqua"/>
          <w:sz w:val="22"/>
          <w:szCs w:val="22"/>
        </w:rPr>
        <w:t xml:space="preserve">. </w:t>
      </w:r>
    </w:p>
    <w:p w14:paraId="151990CA" w14:textId="77777777" w:rsidR="003E7F8E" w:rsidRPr="0015400F" w:rsidRDefault="003E7F8E" w:rsidP="0015400F">
      <w:pPr>
        <w:spacing w:line="360" w:lineRule="auto"/>
        <w:jc w:val="both"/>
        <w:rPr>
          <w:rFonts w:ascii="Book Antiqua" w:hAnsi="Book Antiqua"/>
          <w:sz w:val="22"/>
          <w:szCs w:val="22"/>
        </w:rPr>
      </w:pPr>
    </w:p>
    <w:p w14:paraId="494F82C5" w14:textId="579BBCF0" w:rsidR="002B7D6A" w:rsidRPr="0015400F" w:rsidRDefault="002B7D6A" w:rsidP="002B7D6A">
      <w:pPr>
        <w:pStyle w:val="ListParagraph"/>
        <w:numPr>
          <w:ilvl w:val="0"/>
          <w:numId w:val="5"/>
        </w:numPr>
        <w:spacing w:line="360" w:lineRule="auto"/>
        <w:jc w:val="both"/>
        <w:rPr>
          <w:rFonts w:ascii="Book Antiqua" w:hAnsi="Book Antiqua"/>
          <w:sz w:val="22"/>
          <w:szCs w:val="22"/>
        </w:rPr>
      </w:pPr>
      <w:r w:rsidRPr="0015400F">
        <w:rPr>
          <w:rFonts w:ascii="Book Antiqua" w:hAnsi="Book Antiqua"/>
          <w:sz w:val="22"/>
          <w:szCs w:val="22"/>
        </w:rPr>
        <w:t xml:space="preserve">Dr Lee will present evidence that the appeal scheme generates a </w:t>
      </w:r>
      <w:r w:rsidRPr="00192983">
        <w:rPr>
          <w:rFonts w:ascii="Book Antiqua" w:hAnsi="Book Antiqua"/>
          <w:color w:val="000000" w:themeColor="text1"/>
          <w:sz w:val="22"/>
          <w:szCs w:val="22"/>
        </w:rPr>
        <w:t xml:space="preserve">viability surplus </w:t>
      </w:r>
      <w:r w:rsidRPr="0015400F">
        <w:rPr>
          <w:rFonts w:ascii="Book Antiqua" w:hAnsi="Book Antiqua"/>
          <w:sz w:val="22"/>
          <w:szCs w:val="22"/>
        </w:rPr>
        <w:t xml:space="preserve">and can viably </w:t>
      </w:r>
      <w:r w:rsidR="00BD7727">
        <w:rPr>
          <w:rFonts w:ascii="Book Antiqua" w:hAnsi="Book Antiqua"/>
          <w:sz w:val="22"/>
          <w:szCs w:val="22"/>
        </w:rPr>
        <w:t>support</w:t>
      </w:r>
      <w:r w:rsidRPr="0015400F">
        <w:rPr>
          <w:rFonts w:ascii="Book Antiqua" w:hAnsi="Book Antiqua"/>
          <w:sz w:val="22"/>
          <w:szCs w:val="22"/>
        </w:rPr>
        <w:t xml:space="preserve"> a range of affordable options.  Based on providing 35% of the HMO units let at rents which are discounted by up to </w:t>
      </w:r>
      <w:r>
        <w:rPr>
          <w:rFonts w:ascii="Book Antiqua" w:hAnsi="Book Antiqua"/>
          <w:sz w:val="22"/>
          <w:szCs w:val="22"/>
        </w:rPr>
        <w:t>50</w:t>
      </w:r>
      <w:r w:rsidRPr="0015400F">
        <w:rPr>
          <w:rFonts w:ascii="Book Antiqua" w:hAnsi="Book Antiqua"/>
          <w:sz w:val="22"/>
          <w:szCs w:val="22"/>
        </w:rPr>
        <w:t>% from market rent</w:t>
      </w:r>
      <w:r w:rsidR="00BD7727">
        <w:rPr>
          <w:rFonts w:ascii="Book Antiqua" w:hAnsi="Book Antiqua"/>
          <w:sz w:val="22"/>
          <w:szCs w:val="22"/>
        </w:rPr>
        <w:t>s</w:t>
      </w:r>
      <w:r w:rsidRPr="0015400F">
        <w:rPr>
          <w:rFonts w:ascii="Book Antiqua" w:hAnsi="Book Antiqua"/>
          <w:sz w:val="22"/>
          <w:szCs w:val="22"/>
        </w:rPr>
        <w:t xml:space="preserve"> Dr Lee’s expert view is that the scheme can support a payment in lieu</w:t>
      </w:r>
      <w:r w:rsidR="00192983">
        <w:rPr>
          <w:rStyle w:val="FootnoteReference"/>
          <w:rFonts w:ascii="Book Antiqua" w:hAnsi="Book Antiqua"/>
          <w:sz w:val="22"/>
          <w:szCs w:val="22"/>
        </w:rPr>
        <w:footnoteReference w:id="29"/>
      </w:r>
      <w:r w:rsidRPr="0015400F">
        <w:rPr>
          <w:rFonts w:ascii="Book Antiqua" w:hAnsi="Book Antiqua"/>
          <w:sz w:val="22"/>
          <w:szCs w:val="22"/>
        </w:rPr>
        <w:t xml:space="preserve"> which equates to £2.4 million. </w:t>
      </w:r>
    </w:p>
    <w:p w14:paraId="394AA6D2" w14:textId="77777777" w:rsidR="003E7F8E" w:rsidRPr="0015400F" w:rsidRDefault="003E7F8E" w:rsidP="0015400F">
      <w:pPr>
        <w:spacing w:line="360" w:lineRule="auto"/>
        <w:rPr>
          <w:rFonts w:ascii="Book Antiqua" w:hAnsi="Book Antiqua"/>
          <w:sz w:val="22"/>
          <w:szCs w:val="22"/>
        </w:rPr>
      </w:pPr>
    </w:p>
    <w:p w14:paraId="436FC227" w14:textId="0DBFA81F" w:rsidR="003E7F8E" w:rsidRPr="0015400F" w:rsidRDefault="00BD7727" w:rsidP="00320655">
      <w:pPr>
        <w:pStyle w:val="ListParagraph"/>
        <w:numPr>
          <w:ilvl w:val="0"/>
          <w:numId w:val="5"/>
        </w:numPr>
        <w:spacing w:line="360" w:lineRule="auto"/>
        <w:jc w:val="both"/>
        <w:rPr>
          <w:rFonts w:ascii="Book Antiqua" w:hAnsi="Book Antiqua"/>
          <w:sz w:val="22"/>
          <w:szCs w:val="22"/>
        </w:rPr>
      </w:pPr>
      <w:r>
        <w:rPr>
          <w:rFonts w:ascii="Book Antiqua" w:hAnsi="Book Antiqua"/>
          <w:sz w:val="22"/>
          <w:szCs w:val="22"/>
        </w:rPr>
        <w:t xml:space="preserve">The </w:t>
      </w:r>
      <w:r w:rsidR="003E7F8E" w:rsidRPr="0015400F">
        <w:rPr>
          <w:rFonts w:ascii="Book Antiqua" w:hAnsi="Book Antiqua"/>
          <w:sz w:val="22"/>
          <w:szCs w:val="22"/>
        </w:rPr>
        <w:t xml:space="preserve">issue </w:t>
      </w:r>
      <w:r>
        <w:rPr>
          <w:rFonts w:ascii="Book Antiqua" w:hAnsi="Book Antiqua"/>
          <w:sz w:val="22"/>
          <w:szCs w:val="22"/>
        </w:rPr>
        <w:t xml:space="preserve">for you Sir </w:t>
      </w:r>
      <w:r w:rsidR="003E7F8E" w:rsidRPr="0015400F">
        <w:rPr>
          <w:rFonts w:ascii="Book Antiqua" w:hAnsi="Book Antiqua"/>
          <w:sz w:val="22"/>
          <w:szCs w:val="22"/>
        </w:rPr>
        <w:t>is whether the Appellant</w:t>
      </w:r>
      <w:r w:rsidR="00151167">
        <w:rPr>
          <w:rFonts w:ascii="Book Antiqua" w:hAnsi="Book Antiqua"/>
          <w:sz w:val="22"/>
          <w:szCs w:val="22"/>
        </w:rPr>
        <w:t xml:space="preserve"> can demonstrate that it </w:t>
      </w:r>
      <w:r w:rsidR="008D3F13">
        <w:rPr>
          <w:rFonts w:ascii="Book Antiqua" w:hAnsi="Book Antiqua"/>
          <w:sz w:val="22"/>
          <w:szCs w:val="22"/>
        </w:rPr>
        <w:t>is unable to</w:t>
      </w:r>
      <w:r w:rsidR="003E7F8E" w:rsidRPr="0015400F">
        <w:rPr>
          <w:rFonts w:ascii="Book Antiqua" w:hAnsi="Book Antiqua"/>
          <w:sz w:val="22"/>
          <w:szCs w:val="22"/>
        </w:rPr>
        <w:t xml:space="preserve"> viably provide </w:t>
      </w:r>
      <w:r w:rsidR="003E7F8E" w:rsidRPr="0015400F">
        <w:rPr>
          <w:rFonts w:ascii="Book Antiqua" w:hAnsi="Book Antiqua"/>
          <w:i/>
          <w:sz w:val="22"/>
          <w:szCs w:val="22"/>
        </w:rPr>
        <w:t xml:space="preserve">any </w:t>
      </w:r>
      <w:r w:rsidR="003E7F8E" w:rsidRPr="0015400F">
        <w:rPr>
          <w:rFonts w:ascii="Book Antiqua" w:hAnsi="Book Antiqua"/>
          <w:sz w:val="22"/>
          <w:szCs w:val="22"/>
        </w:rPr>
        <w:t>affordable housing.</w:t>
      </w:r>
      <w:r w:rsidR="00151167">
        <w:rPr>
          <w:rFonts w:ascii="Book Antiqua" w:hAnsi="Book Antiqua"/>
          <w:sz w:val="22"/>
          <w:szCs w:val="22"/>
        </w:rPr>
        <w:t xml:space="preserve"> If there is a</w:t>
      </w:r>
      <w:r w:rsidR="003E7F8E" w:rsidRPr="0015400F">
        <w:rPr>
          <w:rFonts w:ascii="Book Antiqua" w:hAnsi="Book Antiqua"/>
          <w:sz w:val="22"/>
          <w:szCs w:val="22"/>
        </w:rPr>
        <w:t>ny viability surplus</w:t>
      </w:r>
      <w:r w:rsidR="00151167">
        <w:rPr>
          <w:rFonts w:ascii="Book Antiqua" w:hAnsi="Book Antiqua"/>
          <w:sz w:val="22"/>
          <w:szCs w:val="22"/>
        </w:rPr>
        <w:t xml:space="preserve"> then that should</w:t>
      </w:r>
      <w:r w:rsidR="003E7F8E" w:rsidRPr="0015400F">
        <w:rPr>
          <w:rFonts w:ascii="Book Antiqua" w:hAnsi="Book Antiqua"/>
          <w:sz w:val="22"/>
          <w:szCs w:val="22"/>
        </w:rPr>
        <w:t xml:space="preserve"> be provided </w:t>
      </w:r>
      <w:r w:rsidR="00151167">
        <w:rPr>
          <w:rFonts w:ascii="Book Antiqua" w:hAnsi="Book Antiqua"/>
          <w:sz w:val="22"/>
          <w:szCs w:val="22"/>
        </w:rPr>
        <w:t xml:space="preserve">(as a commuted sum) </w:t>
      </w:r>
      <w:r w:rsidR="003E7F8E" w:rsidRPr="0015400F">
        <w:rPr>
          <w:rFonts w:ascii="Book Antiqua" w:hAnsi="Book Antiqua"/>
          <w:sz w:val="22"/>
          <w:szCs w:val="22"/>
        </w:rPr>
        <w:t xml:space="preserve">towards affordable housing. Whilst the LPA </w:t>
      </w:r>
      <w:r w:rsidR="00151167">
        <w:rPr>
          <w:rFonts w:ascii="Book Antiqua" w:hAnsi="Book Antiqua"/>
          <w:sz w:val="22"/>
          <w:szCs w:val="22"/>
        </w:rPr>
        <w:t>considers the</w:t>
      </w:r>
      <w:r w:rsidR="00221822">
        <w:rPr>
          <w:rFonts w:ascii="Book Antiqua" w:hAnsi="Book Antiqua"/>
          <w:sz w:val="22"/>
          <w:szCs w:val="22"/>
        </w:rPr>
        <w:t xml:space="preserve"> scheme can support a</w:t>
      </w:r>
      <w:r w:rsidR="003E7F8E" w:rsidRPr="0015400F">
        <w:rPr>
          <w:rFonts w:ascii="Book Antiqua" w:hAnsi="Book Antiqua"/>
          <w:sz w:val="22"/>
          <w:szCs w:val="22"/>
        </w:rPr>
        <w:t xml:space="preserve"> healthy viability surplus</w:t>
      </w:r>
      <w:r w:rsidR="00900B42" w:rsidRPr="0015400F">
        <w:rPr>
          <w:rFonts w:ascii="Book Antiqua" w:hAnsi="Book Antiqua"/>
          <w:sz w:val="22"/>
          <w:szCs w:val="22"/>
        </w:rPr>
        <w:t>,</w:t>
      </w:r>
      <w:r w:rsidR="003E7F8E" w:rsidRPr="0015400F">
        <w:rPr>
          <w:rFonts w:ascii="Book Antiqua" w:hAnsi="Book Antiqua"/>
          <w:sz w:val="22"/>
          <w:szCs w:val="22"/>
        </w:rPr>
        <w:t xml:space="preserve"> it is sufficient for </w:t>
      </w:r>
      <w:r w:rsidR="00221822">
        <w:rPr>
          <w:rFonts w:ascii="Book Antiqua" w:hAnsi="Book Antiqua"/>
          <w:sz w:val="22"/>
          <w:szCs w:val="22"/>
        </w:rPr>
        <w:t>the LPA</w:t>
      </w:r>
      <w:r w:rsidR="003E7F8E" w:rsidRPr="0015400F">
        <w:rPr>
          <w:rFonts w:ascii="Book Antiqua" w:hAnsi="Book Antiqua"/>
          <w:sz w:val="22"/>
          <w:szCs w:val="22"/>
        </w:rPr>
        <w:t xml:space="preserve"> to demonstrate</w:t>
      </w:r>
      <w:r w:rsidR="00221822">
        <w:rPr>
          <w:rFonts w:ascii="Book Antiqua" w:hAnsi="Book Antiqua"/>
          <w:sz w:val="22"/>
          <w:szCs w:val="22"/>
        </w:rPr>
        <w:t xml:space="preserve"> </w:t>
      </w:r>
      <w:r w:rsidR="003E7F8E" w:rsidRPr="0015400F">
        <w:rPr>
          <w:rFonts w:ascii="Book Antiqua" w:hAnsi="Book Antiqua"/>
          <w:sz w:val="22"/>
          <w:szCs w:val="22"/>
        </w:rPr>
        <w:t>that</w:t>
      </w:r>
      <w:r w:rsidR="00221822">
        <w:rPr>
          <w:rFonts w:ascii="Book Antiqua" w:hAnsi="Book Antiqua"/>
          <w:sz w:val="22"/>
          <w:szCs w:val="22"/>
        </w:rPr>
        <w:t xml:space="preserve"> there is </w:t>
      </w:r>
      <w:r w:rsidR="00221822">
        <w:rPr>
          <w:rFonts w:ascii="Book Antiqua" w:hAnsi="Book Antiqua"/>
          <w:i/>
          <w:sz w:val="22"/>
          <w:szCs w:val="22"/>
        </w:rPr>
        <w:t xml:space="preserve">a </w:t>
      </w:r>
      <w:r w:rsidR="003E7F8E" w:rsidRPr="0015400F">
        <w:rPr>
          <w:rFonts w:ascii="Book Antiqua" w:hAnsi="Book Antiqua"/>
          <w:sz w:val="22"/>
          <w:szCs w:val="22"/>
        </w:rPr>
        <w:t>surplus</w:t>
      </w:r>
      <w:r w:rsidR="00221822">
        <w:rPr>
          <w:rFonts w:ascii="Book Antiqua" w:hAnsi="Book Antiqua"/>
          <w:sz w:val="22"/>
          <w:szCs w:val="22"/>
        </w:rPr>
        <w:t xml:space="preserve"> which should contribute to </w:t>
      </w:r>
      <w:r w:rsidR="003E7F8E" w:rsidRPr="0015400F">
        <w:rPr>
          <w:rFonts w:ascii="Book Antiqua" w:hAnsi="Book Antiqua"/>
          <w:sz w:val="22"/>
          <w:szCs w:val="22"/>
        </w:rPr>
        <w:t>affordable housing</w:t>
      </w:r>
      <w:r w:rsidR="00900B42" w:rsidRPr="0015400F">
        <w:rPr>
          <w:rFonts w:ascii="Book Antiqua" w:hAnsi="Book Antiqua"/>
          <w:sz w:val="22"/>
          <w:szCs w:val="22"/>
        </w:rPr>
        <w:t>.</w:t>
      </w:r>
      <w:r w:rsidR="00780B68" w:rsidRPr="0015400F">
        <w:rPr>
          <w:rStyle w:val="FootnoteReference"/>
          <w:rFonts w:ascii="Book Antiqua" w:hAnsi="Book Antiqua"/>
          <w:sz w:val="22"/>
          <w:szCs w:val="22"/>
        </w:rPr>
        <w:footnoteReference w:id="30"/>
      </w:r>
      <w:r w:rsidR="00900B42" w:rsidRPr="0015400F">
        <w:rPr>
          <w:rFonts w:ascii="Book Antiqua" w:hAnsi="Book Antiqua"/>
          <w:sz w:val="22"/>
          <w:szCs w:val="22"/>
        </w:rPr>
        <w:t xml:space="preserve"> </w:t>
      </w:r>
    </w:p>
    <w:p w14:paraId="6BB6D8AA" w14:textId="77777777" w:rsidR="00900B42" w:rsidRPr="0015400F" w:rsidRDefault="00900B42" w:rsidP="0015400F">
      <w:pPr>
        <w:spacing w:line="360" w:lineRule="auto"/>
        <w:jc w:val="both"/>
        <w:rPr>
          <w:rFonts w:ascii="Book Antiqua" w:hAnsi="Book Antiqua"/>
          <w:sz w:val="22"/>
          <w:szCs w:val="22"/>
        </w:rPr>
      </w:pPr>
    </w:p>
    <w:p w14:paraId="0991AC9B" w14:textId="5FB3BE16" w:rsidR="002B7D6A" w:rsidRPr="00192983" w:rsidRDefault="002B7D6A" w:rsidP="002B7D6A">
      <w:pPr>
        <w:pStyle w:val="ListParagraph"/>
        <w:numPr>
          <w:ilvl w:val="0"/>
          <w:numId w:val="5"/>
        </w:numPr>
        <w:spacing w:line="360" w:lineRule="auto"/>
        <w:jc w:val="both"/>
        <w:rPr>
          <w:rFonts w:ascii="Book Antiqua" w:hAnsi="Book Antiqua"/>
          <w:sz w:val="22"/>
          <w:szCs w:val="22"/>
        </w:rPr>
      </w:pPr>
      <w:r w:rsidRPr="00192983">
        <w:rPr>
          <w:rFonts w:ascii="Book Antiqua" w:hAnsi="Book Antiqua"/>
          <w:sz w:val="22"/>
          <w:szCs w:val="22"/>
        </w:rPr>
        <w:t xml:space="preserve">It is necessary to stand back in respect of the overall scheme and consider whether the relationship between the value generated by the development is commensurate with the cost of developing it. When one stands back from the viability evidence presented by the Appellant it becomes clear that the alleged costs and value in this scheme are out of kilter.  On the basis of the figures presented by Mr Brown, a rational owner would retain the existing hostel.  </w:t>
      </w:r>
    </w:p>
    <w:p w14:paraId="2818CFC9" w14:textId="77777777" w:rsidR="00137566" w:rsidRPr="002B7D6A" w:rsidRDefault="00137566" w:rsidP="002B7D6A">
      <w:pPr>
        <w:pStyle w:val="ListParagraph"/>
        <w:spacing w:line="360" w:lineRule="auto"/>
        <w:jc w:val="both"/>
        <w:rPr>
          <w:rFonts w:ascii="Book Antiqua" w:hAnsi="Book Antiqua"/>
          <w:sz w:val="22"/>
          <w:szCs w:val="22"/>
        </w:rPr>
      </w:pPr>
    </w:p>
    <w:p w14:paraId="497980CC" w14:textId="57210963" w:rsidR="00137566" w:rsidRPr="007E271A" w:rsidRDefault="00221822" w:rsidP="00320655">
      <w:pPr>
        <w:pStyle w:val="ListParagraph"/>
        <w:numPr>
          <w:ilvl w:val="0"/>
          <w:numId w:val="5"/>
        </w:numPr>
        <w:spacing w:line="360" w:lineRule="auto"/>
        <w:jc w:val="both"/>
        <w:rPr>
          <w:rFonts w:ascii="Book Antiqua" w:hAnsi="Book Antiqua"/>
          <w:sz w:val="22"/>
          <w:szCs w:val="22"/>
        </w:rPr>
      </w:pPr>
      <w:r w:rsidRPr="007E271A">
        <w:rPr>
          <w:rFonts w:ascii="Book Antiqua" w:hAnsi="Book Antiqua"/>
          <w:sz w:val="22"/>
          <w:szCs w:val="22"/>
        </w:rPr>
        <w:t xml:space="preserve">The LPA’s case is that the </w:t>
      </w:r>
      <w:r w:rsidR="00232900" w:rsidRPr="007E271A">
        <w:rPr>
          <w:rFonts w:ascii="Book Antiqua" w:hAnsi="Book Antiqua"/>
          <w:sz w:val="22"/>
          <w:szCs w:val="22"/>
        </w:rPr>
        <w:t xml:space="preserve">appeal scheme is </w:t>
      </w:r>
      <w:r w:rsidRPr="007E271A">
        <w:rPr>
          <w:rFonts w:ascii="Book Antiqua" w:hAnsi="Book Antiqua"/>
          <w:sz w:val="22"/>
          <w:szCs w:val="22"/>
        </w:rPr>
        <w:t xml:space="preserve">neither </w:t>
      </w:r>
      <w:r w:rsidR="00232900" w:rsidRPr="007E271A">
        <w:rPr>
          <w:rFonts w:ascii="Book Antiqua" w:hAnsi="Book Antiqua"/>
          <w:sz w:val="22"/>
          <w:szCs w:val="22"/>
        </w:rPr>
        <w:t>“low cost”</w:t>
      </w:r>
      <w:r w:rsidRPr="007E271A">
        <w:rPr>
          <w:rFonts w:ascii="Book Antiqua" w:hAnsi="Book Antiqua"/>
          <w:sz w:val="22"/>
          <w:szCs w:val="22"/>
        </w:rPr>
        <w:t xml:space="preserve"> nor does it </w:t>
      </w:r>
      <w:r w:rsidR="00232900" w:rsidRPr="007E271A">
        <w:rPr>
          <w:rFonts w:ascii="Book Antiqua" w:hAnsi="Book Antiqua"/>
          <w:sz w:val="22"/>
          <w:szCs w:val="22"/>
        </w:rPr>
        <w:t>provide an appropriate amount of affordable housing</w:t>
      </w:r>
      <w:r w:rsidRPr="007E271A">
        <w:rPr>
          <w:rFonts w:ascii="Book Antiqua" w:hAnsi="Book Antiqua"/>
          <w:sz w:val="22"/>
          <w:szCs w:val="22"/>
        </w:rPr>
        <w:t xml:space="preserve">. The Appellant has also failed to demonstrate it would meet an “identified need” for this type of scheme in this location. </w:t>
      </w:r>
      <w:r w:rsidR="00BD7727">
        <w:rPr>
          <w:rFonts w:ascii="Book Antiqua" w:hAnsi="Book Antiqua"/>
          <w:sz w:val="22"/>
          <w:szCs w:val="22"/>
        </w:rPr>
        <w:t xml:space="preserve">That constitutes </w:t>
      </w:r>
      <w:r w:rsidRPr="007E271A">
        <w:rPr>
          <w:rFonts w:ascii="Book Antiqua" w:hAnsi="Book Antiqua"/>
          <w:sz w:val="22"/>
          <w:szCs w:val="22"/>
        </w:rPr>
        <w:t xml:space="preserve">fundamental conflict with </w:t>
      </w:r>
      <w:r w:rsidR="007E271A" w:rsidRPr="007E271A">
        <w:rPr>
          <w:rFonts w:ascii="Book Antiqua" w:hAnsi="Book Antiqua"/>
          <w:sz w:val="22"/>
          <w:szCs w:val="22"/>
        </w:rPr>
        <w:t xml:space="preserve">the main </w:t>
      </w:r>
      <w:r w:rsidRPr="007E271A">
        <w:rPr>
          <w:rFonts w:ascii="Book Antiqua" w:hAnsi="Book Antiqua"/>
          <w:sz w:val="22"/>
          <w:szCs w:val="22"/>
        </w:rPr>
        <w:t xml:space="preserve">relevant </w:t>
      </w:r>
      <w:r w:rsidR="00232900" w:rsidRPr="007E271A">
        <w:rPr>
          <w:rFonts w:ascii="Book Antiqua" w:hAnsi="Book Antiqua"/>
          <w:sz w:val="22"/>
          <w:szCs w:val="22"/>
        </w:rPr>
        <w:t>policy D.H7</w:t>
      </w:r>
      <w:r w:rsidRPr="007E271A">
        <w:rPr>
          <w:rFonts w:ascii="Book Antiqua" w:hAnsi="Book Antiqua"/>
          <w:sz w:val="22"/>
          <w:szCs w:val="22"/>
        </w:rPr>
        <w:t xml:space="preserve"> </w:t>
      </w:r>
      <w:r w:rsidR="00BD7727">
        <w:rPr>
          <w:rFonts w:ascii="Book Antiqua" w:hAnsi="Book Antiqua"/>
          <w:sz w:val="22"/>
          <w:szCs w:val="22"/>
        </w:rPr>
        <w:t>which is not</w:t>
      </w:r>
      <w:r w:rsidR="007E271A" w:rsidRPr="007E271A">
        <w:rPr>
          <w:rFonts w:ascii="Book Antiqua" w:hAnsi="Book Antiqua"/>
          <w:sz w:val="22"/>
          <w:szCs w:val="22"/>
        </w:rPr>
        <w:t xml:space="preserve"> outweighed. </w:t>
      </w:r>
    </w:p>
    <w:p w14:paraId="7F43387C" w14:textId="6A7D7BF0" w:rsidR="0028732B" w:rsidRPr="00320655" w:rsidRDefault="0028732B" w:rsidP="00320655">
      <w:pPr>
        <w:spacing w:line="360" w:lineRule="auto"/>
        <w:jc w:val="both"/>
        <w:rPr>
          <w:sz w:val="22"/>
          <w:szCs w:val="22"/>
        </w:rPr>
      </w:pPr>
    </w:p>
    <w:p w14:paraId="08B8FE7A" w14:textId="5E535D61" w:rsidR="009B0327" w:rsidRPr="0015400F" w:rsidRDefault="00C72883" w:rsidP="0015400F">
      <w:pPr>
        <w:spacing w:line="360" w:lineRule="auto"/>
        <w:jc w:val="both"/>
        <w:rPr>
          <w:rFonts w:ascii="Book Antiqua" w:hAnsi="Book Antiqua"/>
          <w:b/>
          <w:sz w:val="22"/>
          <w:szCs w:val="22"/>
          <w:u w:val="single"/>
        </w:rPr>
      </w:pPr>
      <w:r>
        <w:rPr>
          <w:rFonts w:ascii="Book Antiqua" w:hAnsi="Book Antiqua"/>
          <w:b/>
          <w:sz w:val="22"/>
          <w:szCs w:val="22"/>
          <w:u w:val="single"/>
        </w:rPr>
        <w:t xml:space="preserve">Reason for Refusal 2 - </w:t>
      </w:r>
      <w:r w:rsidR="009B0327" w:rsidRPr="0015400F">
        <w:rPr>
          <w:rFonts w:ascii="Book Antiqua" w:hAnsi="Book Antiqua"/>
          <w:b/>
          <w:sz w:val="22"/>
          <w:szCs w:val="22"/>
          <w:u w:val="single"/>
        </w:rPr>
        <w:t xml:space="preserve">Heritage, </w:t>
      </w:r>
      <w:r>
        <w:rPr>
          <w:rFonts w:ascii="Book Antiqua" w:hAnsi="Book Antiqua"/>
          <w:b/>
          <w:sz w:val="22"/>
          <w:szCs w:val="22"/>
          <w:u w:val="single"/>
        </w:rPr>
        <w:t xml:space="preserve">Character </w:t>
      </w:r>
      <w:r w:rsidR="009B0327" w:rsidRPr="0015400F">
        <w:rPr>
          <w:rFonts w:ascii="Book Antiqua" w:hAnsi="Book Antiqua"/>
          <w:b/>
          <w:sz w:val="22"/>
          <w:szCs w:val="22"/>
          <w:u w:val="single"/>
        </w:rPr>
        <w:t xml:space="preserve">and Archaeology </w:t>
      </w:r>
    </w:p>
    <w:p w14:paraId="0A00387B" w14:textId="458389E5" w:rsidR="009B0327" w:rsidRPr="0015400F" w:rsidRDefault="009B0327" w:rsidP="0015400F">
      <w:pPr>
        <w:spacing w:line="360" w:lineRule="auto"/>
        <w:jc w:val="both"/>
        <w:rPr>
          <w:rFonts w:ascii="Book Antiqua" w:hAnsi="Book Antiqua"/>
          <w:b/>
          <w:sz w:val="22"/>
          <w:szCs w:val="22"/>
          <w:u w:val="single"/>
        </w:rPr>
      </w:pPr>
    </w:p>
    <w:p w14:paraId="034F0C8D" w14:textId="72A8B96C" w:rsidR="009B0327" w:rsidRDefault="00C00E38" w:rsidP="0015400F">
      <w:pPr>
        <w:pStyle w:val="ListParagraph"/>
        <w:numPr>
          <w:ilvl w:val="0"/>
          <w:numId w:val="5"/>
        </w:numPr>
        <w:shd w:val="clear" w:color="auto" w:fill="FFFFFF"/>
        <w:spacing w:line="360" w:lineRule="auto"/>
        <w:jc w:val="both"/>
        <w:rPr>
          <w:rFonts w:ascii="Book Antiqua" w:eastAsia="Times New Roman" w:hAnsi="Book Antiqua" w:cs="Calibri"/>
          <w:color w:val="222222"/>
          <w:sz w:val="22"/>
          <w:szCs w:val="22"/>
        </w:rPr>
      </w:pPr>
      <w:r w:rsidRPr="00B10893">
        <w:rPr>
          <w:rFonts w:ascii="Book Antiqua" w:eastAsia="Times New Roman" w:hAnsi="Book Antiqua" w:cs="Calibri"/>
          <w:color w:val="222222"/>
          <w:sz w:val="22"/>
          <w:szCs w:val="22"/>
        </w:rPr>
        <w:t xml:space="preserve">RFR 2 </w:t>
      </w:r>
      <w:r w:rsidR="009B0327" w:rsidRPr="0015400F">
        <w:rPr>
          <w:rStyle w:val="FootnoteReference"/>
          <w:rFonts w:ascii="Book Antiqua" w:eastAsia="Times New Roman" w:hAnsi="Book Antiqua" w:cs="Calibri"/>
          <w:color w:val="222222"/>
          <w:sz w:val="22"/>
          <w:szCs w:val="22"/>
        </w:rPr>
        <w:footnoteReference w:id="31"/>
      </w:r>
      <w:r w:rsidR="009B0327" w:rsidRPr="00B10893">
        <w:rPr>
          <w:rFonts w:ascii="Book Antiqua" w:eastAsia="Times New Roman" w:hAnsi="Book Antiqua" w:cs="Calibri"/>
          <w:color w:val="222222"/>
          <w:sz w:val="22"/>
          <w:szCs w:val="22"/>
        </w:rPr>
        <w:t xml:space="preserve"> is that the </w:t>
      </w:r>
      <w:r w:rsidR="009B0327" w:rsidRPr="00B10893">
        <w:rPr>
          <w:rFonts w:ascii="Book Antiqua" w:eastAsia="Times New Roman" w:hAnsi="Book Antiqua" w:cs="Calibri"/>
          <w:i/>
          <w:color w:val="222222"/>
          <w:sz w:val="22"/>
          <w:szCs w:val="22"/>
        </w:rPr>
        <w:t xml:space="preserve">“scale, height and massing of the proposed seven storey building” </w:t>
      </w:r>
      <w:r w:rsidR="009B0327" w:rsidRPr="00B10893">
        <w:rPr>
          <w:rFonts w:ascii="Book Antiqua" w:eastAsia="Times New Roman" w:hAnsi="Book Antiqua" w:cs="Calibri"/>
          <w:color w:val="222222"/>
          <w:sz w:val="22"/>
          <w:szCs w:val="22"/>
        </w:rPr>
        <w:t xml:space="preserve">would fail to preserve or enhance the character of the St Anne’s Conservation Area </w:t>
      </w:r>
      <w:r w:rsidR="00B10893">
        <w:rPr>
          <w:rFonts w:ascii="Book Antiqua" w:eastAsia="Times New Roman" w:hAnsi="Book Antiqua" w:cs="Calibri"/>
          <w:color w:val="222222"/>
          <w:sz w:val="22"/>
          <w:szCs w:val="22"/>
        </w:rPr>
        <w:t xml:space="preserve">(“CA”) </w:t>
      </w:r>
      <w:r w:rsidR="009B0327" w:rsidRPr="00B10893">
        <w:rPr>
          <w:rFonts w:ascii="Book Antiqua" w:eastAsia="Times New Roman" w:hAnsi="Book Antiqua" w:cs="Calibri"/>
          <w:color w:val="222222"/>
          <w:sz w:val="22"/>
          <w:szCs w:val="22"/>
        </w:rPr>
        <w:t>and would result in harm to the significance of the designated heritage asset</w:t>
      </w:r>
      <w:r w:rsidR="00B04044">
        <w:rPr>
          <w:rFonts w:ascii="Book Antiqua" w:eastAsia="Times New Roman" w:hAnsi="Book Antiqua" w:cs="Calibri"/>
          <w:color w:val="222222"/>
          <w:sz w:val="22"/>
          <w:szCs w:val="22"/>
        </w:rPr>
        <w:t xml:space="preserve"> (“DHA”)</w:t>
      </w:r>
      <w:r w:rsidR="00B10893" w:rsidRPr="00B10893">
        <w:rPr>
          <w:rFonts w:ascii="Book Antiqua" w:eastAsia="Times New Roman" w:hAnsi="Book Antiqua" w:cs="Calibri"/>
          <w:color w:val="222222"/>
          <w:sz w:val="22"/>
          <w:szCs w:val="22"/>
        </w:rPr>
        <w:t xml:space="preserve">. </w:t>
      </w:r>
    </w:p>
    <w:p w14:paraId="664DB562" w14:textId="77777777" w:rsidR="00B10893" w:rsidRPr="00B10893" w:rsidRDefault="00B10893" w:rsidP="00B10893">
      <w:pPr>
        <w:pStyle w:val="ListParagraph"/>
        <w:shd w:val="clear" w:color="auto" w:fill="FFFFFF"/>
        <w:spacing w:line="360" w:lineRule="auto"/>
        <w:jc w:val="both"/>
        <w:rPr>
          <w:rFonts w:ascii="Book Antiqua" w:eastAsia="Times New Roman" w:hAnsi="Book Antiqua" w:cs="Calibri"/>
          <w:color w:val="222222"/>
          <w:sz w:val="22"/>
          <w:szCs w:val="22"/>
        </w:rPr>
      </w:pPr>
    </w:p>
    <w:p w14:paraId="6243D251" w14:textId="0ADCE3FA" w:rsidR="009B0327" w:rsidRPr="00B10893" w:rsidRDefault="009B0327" w:rsidP="0015400F">
      <w:pPr>
        <w:pStyle w:val="ListParagraph"/>
        <w:numPr>
          <w:ilvl w:val="0"/>
          <w:numId w:val="5"/>
        </w:numPr>
        <w:shd w:val="clear" w:color="auto" w:fill="FFFFFF"/>
        <w:spacing w:line="360" w:lineRule="auto"/>
        <w:jc w:val="both"/>
        <w:rPr>
          <w:rFonts w:ascii="Book Antiqua" w:eastAsia="Times New Roman" w:hAnsi="Book Antiqua" w:cs="Calibri"/>
          <w:color w:val="222222"/>
          <w:sz w:val="22"/>
          <w:szCs w:val="22"/>
        </w:rPr>
      </w:pPr>
      <w:r w:rsidRPr="00B10893">
        <w:rPr>
          <w:rFonts w:ascii="Book Antiqua" w:eastAsia="Times New Roman" w:hAnsi="Book Antiqua" w:cs="Calibri"/>
          <w:color w:val="222222"/>
          <w:sz w:val="22"/>
          <w:szCs w:val="22"/>
        </w:rPr>
        <w:t xml:space="preserve">Mr Laurie Handcock will present evidence </w:t>
      </w:r>
      <w:r w:rsidR="00B10893" w:rsidRPr="00B10893">
        <w:rPr>
          <w:rFonts w:ascii="Book Antiqua" w:eastAsia="Times New Roman" w:hAnsi="Book Antiqua" w:cs="Calibri"/>
          <w:color w:val="222222"/>
          <w:sz w:val="22"/>
          <w:szCs w:val="22"/>
        </w:rPr>
        <w:t xml:space="preserve">in respect of the </w:t>
      </w:r>
      <w:r w:rsidRPr="00B10893">
        <w:rPr>
          <w:rFonts w:ascii="Book Antiqua" w:eastAsia="Times New Roman" w:hAnsi="Book Antiqua" w:cs="Calibri"/>
          <w:color w:val="222222"/>
          <w:sz w:val="22"/>
          <w:szCs w:val="22"/>
        </w:rPr>
        <w:t>LPA</w:t>
      </w:r>
      <w:r w:rsidR="00B10893" w:rsidRPr="00B10893">
        <w:rPr>
          <w:rFonts w:ascii="Book Antiqua" w:eastAsia="Times New Roman" w:hAnsi="Book Antiqua" w:cs="Calibri"/>
          <w:color w:val="222222"/>
          <w:sz w:val="22"/>
          <w:szCs w:val="22"/>
        </w:rPr>
        <w:t xml:space="preserve">’s case that: </w:t>
      </w:r>
    </w:p>
    <w:p w14:paraId="111664F3" w14:textId="77777777" w:rsidR="009B0327" w:rsidRPr="0015400F" w:rsidRDefault="009B0327" w:rsidP="0015400F">
      <w:pPr>
        <w:pStyle w:val="ListParagraph"/>
        <w:spacing w:line="360" w:lineRule="auto"/>
        <w:rPr>
          <w:rFonts w:ascii="Book Antiqua" w:eastAsia="Times New Roman" w:hAnsi="Book Antiqua" w:cs="Calibri"/>
          <w:color w:val="222222"/>
          <w:sz w:val="22"/>
          <w:szCs w:val="22"/>
        </w:rPr>
      </w:pPr>
    </w:p>
    <w:p w14:paraId="232B8995" w14:textId="781526DA" w:rsidR="009B0327" w:rsidRPr="0015400F" w:rsidRDefault="009B0327" w:rsidP="0015400F">
      <w:pPr>
        <w:pStyle w:val="ListParagraph"/>
        <w:numPr>
          <w:ilvl w:val="0"/>
          <w:numId w:val="15"/>
        </w:numPr>
        <w:shd w:val="clear" w:color="auto" w:fill="FFFFFF"/>
        <w:spacing w:line="360" w:lineRule="auto"/>
        <w:jc w:val="both"/>
        <w:rPr>
          <w:rFonts w:ascii="Book Antiqua" w:eastAsia="Times New Roman" w:hAnsi="Book Antiqua" w:cs="Calibri"/>
          <w:color w:val="222222"/>
          <w:sz w:val="22"/>
          <w:szCs w:val="22"/>
        </w:rPr>
      </w:pPr>
      <w:r w:rsidRPr="0015400F">
        <w:rPr>
          <w:rFonts w:ascii="Book Antiqua" w:eastAsia="Times New Roman" w:hAnsi="Book Antiqua" w:cs="Calibri"/>
          <w:color w:val="222222"/>
          <w:sz w:val="22"/>
          <w:szCs w:val="22"/>
        </w:rPr>
        <w:t xml:space="preserve">the Appellant has understated the significance of the CA and, particularly, the </w:t>
      </w:r>
      <w:r w:rsidR="00A70B31">
        <w:rPr>
          <w:rFonts w:ascii="Book Antiqua" w:eastAsia="Times New Roman" w:hAnsi="Book Antiqua" w:cs="Calibri"/>
          <w:color w:val="222222"/>
          <w:sz w:val="22"/>
          <w:szCs w:val="22"/>
        </w:rPr>
        <w:t xml:space="preserve">considerable </w:t>
      </w:r>
      <w:r w:rsidRPr="0015400F">
        <w:rPr>
          <w:rFonts w:ascii="Book Antiqua" w:eastAsia="Times New Roman" w:hAnsi="Book Antiqua" w:cs="Calibri"/>
          <w:color w:val="222222"/>
          <w:sz w:val="22"/>
          <w:szCs w:val="22"/>
        </w:rPr>
        <w:t>positive contribution made by Our Lady Immaculate Catholic Church to the designated asset. T</w:t>
      </w:r>
      <w:r w:rsidRPr="0015400F">
        <w:rPr>
          <w:rFonts w:ascii="Book Antiqua" w:eastAsia="Times New Roman" w:hAnsi="Book Antiqua" w:cstheme="minorHAnsi"/>
          <w:color w:val="222222"/>
          <w:sz w:val="22"/>
          <w:szCs w:val="22"/>
        </w:rPr>
        <w:t>he Church</w:t>
      </w:r>
      <w:r w:rsidR="00B10893">
        <w:rPr>
          <w:rFonts w:ascii="Book Antiqua" w:eastAsia="Times New Roman" w:hAnsi="Book Antiqua" w:cstheme="minorHAnsi"/>
          <w:color w:val="222222"/>
          <w:sz w:val="22"/>
          <w:szCs w:val="22"/>
        </w:rPr>
        <w:t xml:space="preserve"> is a landmark in </w:t>
      </w:r>
      <w:r w:rsidR="00A70B31">
        <w:rPr>
          <w:rFonts w:ascii="Book Antiqua" w:eastAsia="Times New Roman" w:hAnsi="Book Antiqua" w:cstheme="minorHAnsi"/>
          <w:color w:val="222222"/>
          <w:sz w:val="22"/>
          <w:szCs w:val="22"/>
        </w:rPr>
        <w:t xml:space="preserve">the </w:t>
      </w:r>
      <w:r w:rsidR="00B10893">
        <w:rPr>
          <w:rFonts w:ascii="Book Antiqua" w:eastAsia="Times New Roman" w:hAnsi="Book Antiqua" w:cstheme="minorHAnsi"/>
          <w:color w:val="222222"/>
          <w:sz w:val="22"/>
          <w:szCs w:val="22"/>
        </w:rPr>
        <w:t xml:space="preserve">townscape and contributes to the CA </w:t>
      </w:r>
      <w:r w:rsidRPr="0015400F">
        <w:rPr>
          <w:rFonts w:ascii="Book Antiqua" w:eastAsia="Times New Roman" w:hAnsi="Book Antiqua" w:cstheme="minorHAnsi"/>
          <w:color w:val="222222"/>
          <w:sz w:val="22"/>
          <w:szCs w:val="22"/>
        </w:rPr>
        <w:t>through its architectural and associative qualities</w:t>
      </w:r>
      <w:r w:rsidRPr="0015400F">
        <w:rPr>
          <w:rStyle w:val="FootnoteReference"/>
          <w:rFonts w:ascii="Book Antiqua" w:eastAsia="Times New Roman" w:hAnsi="Book Antiqua" w:cstheme="minorHAnsi"/>
          <w:i/>
          <w:sz w:val="22"/>
          <w:szCs w:val="22"/>
        </w:rPr>
        <w:footnoteReference w:id="32"/>
      </w:r>
      <w:r w:rsidR="00B10893">
        <w:rPr>
          <w:rFonts w:ascii="Book Antiqua" w:eastAsia="Times New Roman" w:hAnsi="Book Antiqua" w:cstheme="minorHAnsi"/>
          <w:color w:val="222222"/>
          <w:sz w:val="22"/>
          <w:szCs w:val="22"/>
        </w:rPr>
        <w:t xml:space="preserve"> and as part of </w:t>
      </w:r>
      <w:r w:rsidRPr="0015400F">
        <w:rPr>
          <w:rFonts w:ascii="Book Antiqua" w:eastAsia="Times New Roman" w:hAnsi="Book Antiqua" w:cstheme="minorHAnsi"/>
          <w:sz w:val="22"/>
          <w:szCs w:val="22"/>
        </w:rPr>
        <w:t>a group of significant public buildings which are core to the significance of the designated asset.</w:t>
      </w:r>
      <w:r w:rsidRPr="0015400F">
        <w:rPr>
          <w:rStyle w:val="FootnoteReference"/>
          <w:rFonts w:ascii="Book Antiqua" w:eastAsia="Times New Roman" w:hAnsi="Book Antiqua" w:cs="Calibri"/>
          <w:i/>
          <w:color w:val="222222"/>
          <w:sz w:val="22"/>
          <w:szCs w:val="22"/>
        </w:rPr>
        <w:footnoteReference w:id="33"/>
      </w:r>
      <w:r w:rsidRPr="0015400F">
        <w:rPr>
          <w:rFonts w:ascii="Book Antiqua" w:eastAsia="Times New Roman" w:hAnsi="Book Antiqua" w:cs="Times New Roman"/>
          <w:i/>
          <w:sz w:val="22"/>
          <w:szCs w:val="22"/>
        </w:rPr>
        <w:t xml:space="preserve"> </w:t>
      </w:r>
    </w:p>
    <w:p w14:paraId="5849E1A9" w14:textId="77777777" w:rsidR="009B0327" w:rsidRPr="0015400F" w:rsidRDefault="009B0327" w:rsidP="0015400F">
      <w:pPr>
        <w:shd w:val="clear" w:color="auto" w:fill="FFFFFF"/>
        <w:spacing w:line="360" w:lineRule="auto"/>
        <w:jc w:val="both"/>
        <w:rPr>
          <w:rFonts w:ascii="Book Antiqua" w:eastAsia="Times New Roman" w:hAnsi="Book Antiqua" w:cs="Calibri"/>
          <w:color w:val="222222"/>
          <w:sz w:val="22"/>
          <w:szCs w:val="22"/>
        </w:rPr>
      </w:pPr>
    </w:p>
    <w:p w14:paraId="5DC3DCD9" w14:textId="051C86F4" w:rsidR="009B0327" w:rsidRDefault="009B0327" w:rsidP="0015400F">
      <w:pPr>
        <w:pStyle w:val="ListParagraph"/>
        <w:numPr>
          <w:ilvl w:val="0"/>
          <w:numId w:val="15"/>
        </w:numPr>
        <w:shd w:val="clear" w:color="auto" w:fill="FFFFFF"/>
        <w:spacing w:line="360" w:lineRule="auto"/>
        <w:jc w:val="both"/>
        <w:rPr>
          <w:rFonts w:ascii="Book Antiqua" w:eastAsia="Times New Roman" w:hAnsi="Book Antiqua" w:cs="Calibri"/>
          <w:color w:val="222222"/>
          <w:sz w:val="22"/>
          <w:szCs w:val="22"/>
        </w:rPr>
      </w:pPr>
      <w:r w:rsidRPr="00B10893">
        <w:rPr>
          <w:rFonts w:ascii="Book Antiqua" w:eastAsia="Times New Roman" w:hAnsi="Book Antiqua" w:cs="Calibri"/>
          <w:color w:val="222222"/>
          <w:sz w:val="22"/>
          <w:szCs w:val="22"/>
        </w:rPr>
        <w:t>Whilst the existing Panda House is</w:t>
      </w:r>
      <w:r w:rsidR="00B10893" w:rsidRPr="00B10893">
        <w:rPr>
          <w:rFonts w:ascii="Book Antiqua" w:eastAsia="Times New Roman" w:hAnsi="Book Antiqua" w:cs="Calibri"/>
          <w:color w:val="222222"/>
          <w:sz w:val="22"/>
          <w:szCs w:val="22"/>
        </w:rPr>
        <w:t xml:space="preserve"> accepted to be</w:t>
      </w:r>
      <w:r w:rsidRPr="00B10893">
        <w:rPr>
          <w:rFonts w:ascii="Book Antiqua" w:eastAsia="Times New Roman" w:hAnsi="Book Antiqua" w:cs="Calibri"/>
          <w:color w:val="222222"/>
          <w:sz w:val="22"/>
          <w:szCs w:val="22"/>
        </w:rPr>
        <w:t xml:space="preserve"> an undistinguished building the Appellant</w:t>
      </w:r>
      <w:r w:rsidR="008D3F13">
        <w:rPr>
          <w:rFonts w:ascii="Book Antiqua" w:eastAsia="Times New Roman" w:hAnsi="Book Antiqua" w:cs="Calibri"/>
          <w:color w:val="222222"/>
          <w:sz w:val="22"/>
          <w:szCs w:val="22"/>
        </w:rPr>
        <w:t xml:space="preserve"> </w:t>
      </w:r>
      <w:r w:rsidRPr="00B10893">
        <w:rPr>
          <w:rFonts w:ascii="Book Antiqua" w:eastAsia="Times New Roman" w:hAnsi="Book Antiqua" w:cs="Calibri"/>
          <w:color w:val="222222"/>
          <w:sz w:val="22"/>
          <w:szCs w:val="22"/>
        </w:rPr>
        <w:t>overstate</w:t>
      </w:r>
      <w:r w:rsidR="00B10893" w:rsidRPr="00B10893">
        <w:rPr>
          <w:rFonts w:ascii="Book Antiqua" w:eastAsia="Times New Roman" w:hAnsi="Book Antiqua" w:cs="Calibri"/>
          <w:color w:val="222222"/>
          <w:sz w:val="22"/>
          <w:szCs w:val="22"/>
        </w:rPr>
        <w:t>s</w:t>
      </w:r>
      <w:r w:rsidRPr="00B10893">
        <w:rPr>
          <w:rFonts w:ascii="Book Antiqua" w:eastAsia="Times New Roman" w:hAnsi="Book Antiqua" w:cs="Calibri"/>
          <w:color w:val="222222"/>
          <w:sz w:val="22"/>
          <w:szCs w:val="22"/>
        </w:rPr>
        <w:t xml:space="preserve"> its “</w:t>
      </w:r>
      <w:r w:rsidRPr="00B10893">
        <w:rPr>
          <w:rFonts w:ascii="Book Antiqua" w:eastAsia="Times New Roman" w:hAnsi="Book Antiqua" w:cs="Calibri"/>
          <w:i/>
          <w:color w:val="222222"/>
          <w:sz w:val="22"/>
          <w:szCs w:val="22"/>
        </w:rPr>
        <w:t>negative contribution</w:t>
      </w:r>
      <w:r w:rsidRPr="00B10893">
        <w:rPr>
          <w:rFonts w:ascii="Book Antiqua" w:eastAsia="Times New Roman" w:hAnsi="Book Antiqua" w:cs="Calibri"/>
          <w:color w:val="222222"/>
          <w:sz w:val="22"/>
          <w:szCs w:val="22"/>
        </w:rPr>
        <w:t>”</w:t>
      </w:r>
      <w:r w:rsidRPr="0015400F">
        <w:rPr>
          <w:rStyle w:val="FootnoteReference"/>
          <w:rFonts w:ascii="Book Antiqua" w:eastAsia="Times New Roman" w:hAnsi="Book Antiqua" w:cs="Calibri"/>
          <w:color w:val="222222"/>
          <w:sz w:val="22"/>
          <w:szCs w:val="22"/>
        </w:rPr>
        <w:footnoteReference w:id="34"/>
      </w:r>
      <w:r w:rsidRPr="00B10893">
        <w:rPr>
          <w:rFonts w:ascii="Book Antiqua" w:eastAsia="Times New Roman" w:hAnsi="Book Antiqua" w:cs="Calibri"/>
          <w:color w:val="222222"/>
          <w:sz w:val="22"/>
          <w:szCs w:val="22"/>
        </w:rPr>
        <w:t xml:space="preserve"> to the</w:t>
      </w:r>
      <w:r w:rsidR="00B10893" w:rsidRPr="00B10893">
        <w:rPr>
          <w:rFonts w:ascii="Book Antiqua" w:eastAsia="Times New Roman" w:hAnsi="Book Antiqua" w:cs="Calibri"/>
          <w:color w:val="222222"/>
          <w:sz w:val="22"/>
          <w:szCs w:val="22"/>
        </w:rPr>
        <w:t xml:space="preserve"> CA. </w:t>
      </w:r>
      <w:r w:rsidRPr="00B10893">
        <w:rPr>
          <w:rFonts w:ascii="Book Antiqua" w:eastAsia="Times New Roman" w:hAnsi="Book Antiqua" w:cs="Calibri"/>
          <w:color w:val="222222"/>
          <w:sz w:val="22"/>
          <w:szCs w:val="22"/>
        </w:rPr>
        <w:t xml:space="preserve"> </w:t>
      </w:r>
      <w:r w:rsidR="00B10893" w:rsidRPr="00B10893">
        <w:rPr>
          <w:rFonts w:ascii="Book Antiqua" w:eastAsia="Times New Roman" w:hAnsi="Book Antiqua" w:cs="Calibri"/>
          <w:color w:val="222222"/>
          <w:sz w:val="22"/>
          <w:szCs w:val="22"/>
        </w:rPr>
        <w:t>I</w:t>
      </w:r>
      <w:r w:rsidR="00BD7727">
        <w:rPr>
          <w:rFonts w:ascii="Book Antiqua" w:eastAsia="Times New Roman" w:hAnsi="Book Antiqua" w:cs="Calibri"/>
          <w:color w:val="222222"/>
          <w:sz w:val="22"/>
          <w:szCs w:val="22"/>
        </w:rPr>
        <w:t>n</w:t>
      </w:r>
      <w:r w:rsidR="00A70B31">
        <w:rPr>
          <w:rFonts w:ascii="Book Antiqua" w:eastAsia="Times New Roman" w:hAnsi="Book Antiqua" w:cs="Calibri"/>
          <w:color w:val="222222"/>
          <w:sz w:val="22"/>
          <w:szCs w:val="22"/>
        </w:rPr>
        <w:t xml:space="preserve"> its existing form </w:t>
      </w:r>
      <w:r w:rsidR="00B10893" w:rsidRPr="00B10893">
        <w:rPr>
          <w:rFonts w:ascii="Book Antiqua" w:eastAsia="Times New Roman" w:hAnsi="Book Antiqua" w:cs="Calibri"/>
          <w:color w:val="222222"/>
          <w:sz w:val="22"/>
          <w:szCs w:val="22"/>
        </w:rPr>
        <w:t xml:space="preserve">preserves the historic prominence of the Church. </w:t>
      </w:r>
    </w:p>
    <w:p w14:paraId="4728E3DC" w14:textId="77777777" w:rsidR="00B10893" w:rsidRPr="00B10893" w:rsidRDefault="00B10893" w:rsidP="00B10893">
      <w:pPr>
        <w:shd w:val="clear" w:color="auto" w:fill="FFFFFF"/>
        <w:spacing w:line="360" w:lineRule="auto"/>
        <w:jc w:val="both"/>
        <w:rPr>
          <w:rFonts w:ascii="Book Antiqua" w:eastAsia="Times New Roman" w:hAnsi="Book Antiqua" w:cs="Calibri"/>
          <w:color w:val="222222"/>
          <w:sz w:val="22"/>
          <w:szCs w:val="22"/>
        </w:rPr>
      </w:pPr>
    </w:p>
    <w:p w14:paraId="3DFC5B9B" w14:textId="35F398ED" w:rsidR="009B0327" w:rsidRDefault="009B0327" w:rsidP="0015400F">
      <w:pPr>
        <w:pStyle w:val="ListParagraph"/>
        <w:numPr>
          <w:ilvl w:val="0"/>
          <w:numId w:val="15"/>
        </w:numPr>
        <w:shd w:val="clear" w:color="auto" w:fill="FFFFFF"/>
        <w:spacing w:line="360" w:lineRule="auto"/>
        <w:jc w:val="both"/>
        <w:rPr>
          <w:rFonts w:ascii="Book Antiqua" w:eastAsia="Times New Roman" w:hAnsi="Book Antiqua" w:cs="Calibri"/>
          <w:color w:val="222222"/>
          <w:sz w:val="22"/>
          <w:szCs w:val="22"/>
        </w:rPr>
      </w:pPr>
      <w:r w:rsidRPr="0015400F">
        <w:rPr>
          <w:rFonts w:ascii="Book Antiqua" w:eastAsia="Times New Roman" w:hAnsi="Book Antiqua" w:cs="Calibri"/>
          <w:color w:val="222222"/>
          <w:sz w:val="22"/>
          <w:szCs w:val="22"/>
        </w:rPr>
        <w:t>The proposed seven storey building is overbearing in its massing, height and scale and diminishes the prominence of the Catholic Church in the townscape. Th</w:t>
      </w:r>
      <w:r w:rsidR="00B04044">
        <w:rPr>
          <w:rFonts w:ascii="Book Antiqua" w:eastAsia="Times New Roman" w:hAnsi="Book Antiqua" w:cs="Calibri"/>
          <w:color w:val="222222"/>
          <w:sz w:val="22"/>
          <w:szCs w:val="22"/>
        </w:rPr>
        <w:t xml:space="preserve">e LPA’s </w:t>
      </w:r>
      <w:r w:rsidRPr="0015400F">
        <w:rPr>
          <w:rFonts w:ascii="Book Antiqua" w:eastAsia="Times New Roman" w:hAnsi="Book Antiqua" w:cs="Calibri"/>
          <w:color w:val="222222"/>
          <w:sz w:val="22"/>
          <w:szCs w:val="22"/>
        </w:rPr>
        <w:t>view is shared by several amenity societies</w:t>
      </w:r>
      <w:r w:rsidRPr="0015400F">
        <w:rPr>
          <w:rStyle w:val="FootnoteReference"/>
          <w:rFonts w:ascii="Book Antiqua" w:eastAsia="Times New Roman" w:hAnsi="Book Antiqua" w:cs="Calibri"/>
          <w:color w:val="222222"/>
          <w:sz w:val="22"/>
          <w:szCs w:val="22"/>
        </w:rPr>
        <w:footnoteReference w:id="35"/>
      </w:r>
      <w:r w:rsidRPr="0015400F">
        <w:rPr>
          <w:rFonts w:ascii="Book Antiqua" w:eastAsia="Times New Roman" w:hAnsi="Book Antiqua" w:cs="Calibri"/>
          <w:color w:val="222222"/>
          <w:sz w:val="22"/>
          <w:szCs w:val="22"/>
        </w:rPr>
        <w:t xml:space="preserve"> . Th</w:t>
      </w:r>
      <w:r w:rsidR="008D3F13">
        <w:rPr>
          <w:rFonts w:ascii="Book Antiqua" w:eastAsia="Times New Roman" w:hAnsi="Book Antiqua" w:cs="Calibri"/>
          <w:color w:val="222222"/>
          <w:sz w:val="22"/>
          <w:szCs w:val="22"/>
        </w:rPr>
        <w:t>is</w:t>
      </w:r>
      <w:r w:rsidR="00B04044">
        <w:rPr>
          <w:rFonts w:ascii="Book Antiqua" w:eastAsia="Times New Roman" w:hAnsi="Book Antiqua" w:cs="Calibri"/>
          <w:color w:val="222222"/>
          <w:sz w:val="22"/>
          <w:szCs w:val="22"/>
        </w:rPr>
        <w:t xml:space="preserve"> harmful impact is not mitigated by the</w:t>
      </w:r>
      <w:r w:rsidRPr="0015400F">
        <w:rPr>
          <w:rFonts w:ascii="Book Antiqua" w:eastAsia="Times New Roman" w:hAnsi="Book Antiqua" w:cs="Calibri"/>
          <w:color w:val="222222"/>
          <w:sz w:val="22"/>
          <w:szCs w:val="22"/>
        </w:rPr>
        <w:t xml:space="preserve"> set back of the top two floors</w:t>
      </w:r>
      <w:r w:rsidR="00B04044">
        <w:rPr>
          <w:rFonts w:ascii="Book Antiqua" w:eastAsia="Times New Roman" w:hAnsi="Book Antiqua" w:cs="Calibri"/>
          <w:color w:val="222222"/>
          <w:sz w:val="22"/>
          <w:szCs w:val="22"/>
        </w:rPr>
        <w:t xml:space="preserve">. </w:t>
      </w:r>
    </w:p>
    <w:p w14:paraId="67E1E135" w14:textId="77777777" w:rsidR="00B04044" w:rsidRPr="00B04044" w:rsidRDefault="00B04044" w:rsidP="00B04044">
      <w:pPr>
        <w:pStyle w:val="ListParagraph"/>
        <w:rPr>
          <w:rFonts w:ascii="Book Antiqua" w:eastAsia="Times New Roman" w:hAnsi="Book Antiqua" w:cs="Calibri"/>
          <w:color w:val="222222"/>
          <w:sz w:val="22"/>
          <w:szCs w:val="22"/>
        </w:rPr>
      </w:pPr>
    </w:p>
    <w:p w14:paraId="2B93DEC9" w14:textId="01D7C7D9" w:rsidR="009B0327" w:rsidRPr="00B04044" w:rsidRDefault="00B04044" w:rsidP="00B04044">
      <w:pPr>
        <w:pStyle w:val="ListParagraph"/>
        <w:numPr>
          <w:ilvl w:val="0"/>
          <w:numId w:val="5"/>
        </w:numPr>
        <w:shd w:val="clear" w:color="auto" w:fill="FFFFFF"/>
        <w:spacing w:line="360" w:lineRule="auto"/>
        <w:jc w:val="both"/>
        <w:rPr>
          <w:rFonts w:ascii="Book Antiqua" w:eastAsia="Times New Roman" w:hAnsi="Book Antiqua" w:cs="Calibri"/>
          <w:color w:val="222222"/>
          <w:sz w:val="22"/>
          <w:szCs w:val="22"/>
        </w:rPr>
      </w:pPr>
      <w:r w:rsidRPr="00B04044">
        <w:rPr>
          <w:rFonts w:ascii="Book Antiqua" w:eastAsia="Times New Roman" w:hAnsi="Book Antiqua" w:cs="Calibri"/>
          <w:color w:val="222222"/>
          <w:sz w:val="22"/>
          <w:szCs w:val="22"/>
        </w:rPr>
        <w:t xml:space="preserve">The Appellant says its scheme is </w:t>
      </w:r>
      <w:r w:rsidR="00B10893" w:rsidRPr="00B04044">
        <w:rPr>
          <w:rFonts w:ascii="Book Antiqua" w:eastAsia="Times New Roman" w:hAnsi="Book Antiqua" w:cs="Calibri"/>
          <w:color w:val="222222"/>
          <w:sz w:val="22"/>
          <w:szCs w:val="22"/>
        </w:rPr>
        <w:t>a</w:t>
      </w:r>
      <w:r w:rsidR="00B10893" w:rsidRPr="00B04044">
        <w:rPr>
          <w:rFonts w:ascii="Book Antiqua" w:eastAsia="Times New Roman" w:hAnsi="Book Antiqua" w:cs="Calibri"/>
          <w:i/>
          <w:color w:val="222222"/>
          <w:sz w:val="22"/>
          <w:szCs w:val="22"/>
        </w:rPr>
        <w:t xml:space="preserve"> </w:t>
      </w:r>
      <w:r w:rsidR="00B10893" w:rsidRPr="008D3F13">
        <w:rPr>
          <w:rFonts w:ascii="Book Antiqua" w:eastAsia="Times New Roman" w:hAnsi="Book Antiqua" w:cs="Calibri"/>
          <w:color w:val="222222"/>
          <w:sz w:val="22"/>
          <w:szCs w:val="22"/>
        </w:rPr>
        <w:t>“considerable enhancement”</w:t>
      </w:r>
      <w:r w:rsidR="00B10893" w:rsidRPr="008D3F13">
        <w:rPr>
          <w:rStyle w:val="FootnoteReference"/>
          <w:rFonts w:ascii="Book Antiqua" w:eastAsia="Times New Roman" w:hAnsi="Book Antiqua" w:cs="Calibri"/>
          <w:color w:val="222222"/>
          <w:sz w:val="22"/>
          <w:szCs w:val="22"/>
        </w:rPr>
        <w:footnoteReference w:id="36"/>
      </w:r>
      <w:r w:rsidRPr="00B04044">
        <w:rPr>
          <w:rFonts w:ascii="Book Antiqua" w:eastAsia="Times New Roman" w:hAnsi="Book Antiqua" w:cs="Calibri"/>
          <w:i/>
          <w:color w:val="222222"/>
          <w:sz w:val="22"/>
          <w:szCs w:val="22"/>
        </w:rPr>
        <w:t xml:space="preserve"> </w:t>
      </w:r>
      <w:r w:rsidR="008D3F13">
        <w:rPr>
          <w:rFonts w:ascii="Book Antiqua" w:eastAsia="Times New Roman" w:hAnsi="Book Antiqua" w:cs="Calibri"/>
          <w:color w:val="222222"/>
          <w:sz w:val="22"/>
          <w:szCs w:val="22"/>
        </w:rPr>
        <w:t>on</w:t>
      </w:r>
      <w:r w:rsidRPr="00B04044">
        <w:rPr>
          <w:rFonts w:ascii="Book Antiqua" w:eastAsia="Times New Roman" w:hAnsi="Book Antiqua" w:cs="Calibri"/>
          <w:color w:val="222222"/>
          <w:sz w:val="22"/>
          <w:szCs w:val="22"/>
        </w:rPr>
        <w:t xml:space="preserve"> the existing position. The LPA disagrees. When </w:t>
      </w:r>
      <w:r w:rsidR="009B0327" w:rsidRPr="00B04044">
        <w:rPr>
          <w:rFonts w:ascii="Book Antiqua" w:eastAsia="Times New Roman" w:hAnsi="Book Antiqua" w:cs="Calibri"/>
          <w:color w:val="222222"/>
          <w:sz w:val="22"/>
          <w:szCs w:val="22"/>
        </w:rPr>
        <w:t xml:space="preserve">one considers the </w:t>
      </w:r>
      <w:r w:rsidR="009B0327" w:rsidRPr="00B04044">
        <w:rPr>
          <w:rFonts w:ascii="Book Antiqua" w:eastAsia="Times New Roman" w:hAnsi="Book Antiqua" w:cs="Calibri"/>
          <w:i/>
          <w:color w:val="222222"/>
          <w:sz w:val="22"/>
          <w:szCs w:val="22"/>
        </w:rPr>
        <w:t>net</w:t>
      </w:r>
      <w:r w:rsidR="009B0327" w:rsidRPr="00B04044">
        <w:rPr>
          <w:rFonts w:ascii="Book Antiqua" w:eastAsia="Times New Roman" w:hAnsi="Book Antiqua" w:cs="Calibri"/>
          <w:color w:val="222222"/>
          <w:sz w:val="22"/>
          <w:szCs w:val="22"/>
        </w:rPr>
        <w:t xml:space="preserve"> effect of the redevelopment </w:t>
      </w:r>
      <w:r>
        <w:rPr>
          <w:rFonts w:ascii="Book Antiqua" w:eastAsia="Times New Roman" w:hAnsi="Book Antiqua" w:cs="Calibri"/>
          <w:color w:val="222222"/>
          <w:sz w:val="22"/>
          <w:szCs w:val="22"/>
        </w:rPr>
        <w:t>the appeal scheme</w:t>
      </w:r>
      <w:r w:rsidR="009B0327" w:rsidRPr="00B04044">
        <w:rPr>
          <w:rFonts w:ascii="Book Antiqua" w:eastAsia="Times New Roman" w:hAnsi="Book Antiqua" w:cs="Calibri"/>
          <w:color w:val="222222"/>
          <w:sz w:val="22"/>
          <w:szCs w:val="22"/>
        </w:rPr>
        <w:t xml:space="preserve"> </w:t>
      </w:r>
      <w:r>
        <w:rPr>
          <w:rFonts w:ascii="Book Antiqua" w:eastAsia="Times New Roman" w:hAnsi="Book Antiqua" w:cs="Calibri"/>
          <w:color w:val="222222"/>
          <w:sz w:val="22"/>
          <w:szCs w:val="22"/>
        </w:rPr>
        <w:t xml:space="preserve">perceptibly </w:t>
      </w:r>
      <w:r w:rsidR="008D3F13">
        <w:rPr>
          <w:rFonts w:ascii="Book Antiqua" w:eastAsia="Times New Roman" w:hAnsi="Book Antiqua" w:cs="Calibri"/>
          <w:color w:val="222222"/>
          <w:sz w:val="22"/>
          <w:szCs w:val="22"/>
        </w:rPr>
        <w:t xml:space="preserve">and substantially </w:t>
      </w:r>
      <w:r>
        <w:rPr>
          <w:rFonts w:ascii="Book Antiqua" w:eastAsia="Times New Roman" w:hAnsi="Book Antiqua" w:cs="Calibri"/>
          <w:color w:val="222222"/>
          <w:sz w:val="22"/>
          <w:szCs w:val="22"/>
        </w:rPr>
        <w:t xml:space="preserve">diminishes the prominence of the Church (non-designated asset) and </w:t>
      </w:r>
      <w:r w:rsidR="009B0327" w:rsidRPr="00B04044">
        <w:rPr>
          <w:rFonts w:ascii="Book Antiqua" w:eastAsia="Times New Roman" w:hAnsi="Book Antiqua" w:cs="Calibri"/>
          <w:color w:val="222222"/>
          <w:sz w:val="22"/>
          <w:szCs w:val="22"/>
        </w:rPr>
        <w:t xml:space="preserve">by extension </w:t>
      </w:r>
      <w:r>
        <w:rPr>
          <w:rFonts w:ascii="Book Antiqua" w:eastAsia="Times New Roman" w:hAnsi="Book Antiqua" w:cs="Calibri"/>
          <w:color w:val="222222"/>
          <w:sz w:val="22"/>
          <w:szCs w:val="22"/>
        </w:rPr>
        <w:t>harms the</w:t>
      </w:r>
      <w:r w:rsidR="009B0327" w:rsidRPr="00B04044">
        <w:rPr>
          <w:rFonts w:ascii="Book Antiqua" w:eastAsia="Times New Roman" w:hAnsi="Book Antiqua" w:cs="Calibri"/>
          <w:color w:val="222222"/>
          <w:sz w:val="22"/>
          <w:szCs w:val="22"/>
        </w:rPr>
        <w:t xml:space="preserve"> wider significance of the group of public buildings </w:t>
      </w:r>
      <w:r>
        <w:rPr>
          <w:rFonts w:ascii="Book Antiqua" w:eastAsia="Times New Roman" w:hAnsi="Book Antiqua" w:cs="Calibri"/>
          <w:color w:val="222222"/>
          <w:sz w:val="22"/>
          <w:szCs w:val="22"/>
        </w:rPr>
        <w:t xml:space="preserve">of which the Church is part. </w:t>
      </w:r>
      <w:r w:rsidR="009B0327" w:rsidRPr="00B04044">
        <w:rPr>
          <w:rFonts w:ascii="Book Antiqua" w:eastAsia="Times New Roman" w:hAnsi="Book Antiqua" w:cs="Calibri"/>
          <w:color w:val="222222"/>
          <w:sz w:val="22"/>
          <w:szCs w:val="22"/>
        </w:rPr>
        <w:t xml:space="preserve">Any harm to the conservation area must be given </w:t>
      </w:r>
      <w:r w:rsidR="009B0327" w:rsidRPr="00B04044">
        <w:rPr>
          <w:rFonts w:ascii="Book Antiqua" w:eastAsia="Times New Roman" w:hAnsi="Book Antiqua" w:cs="Calibri"/>
          <w:i/>
          <w:color w:val="222222"/>
          <w:sz w:val="22"/>
          <w:szCs w:val="22"/>
        </w:rPr>
        <w:t>“great weight”</w:t>
      </w:r>
      <w:r w:rsidR="009B0327" w:rsidRPr="00B04044">
        <w:rPr>
          <w:rFonts w:ascii="Book Antiqua" w:eastAsia="Times New Roman" w:hAnsi="Book Antiqua" w:cs="Calibri"/>
          <w:color w:val="222222"/>
          <w:sz w:val="22"/>
          <w:szCs w:val="22"/>
        </w:rPr>
        <w:t xml:space="preserve"> and gives rise to a presumption against the development which is not outweighed here by the modest public benefits of the scheme (para. 196 NPPF). </w:t>
      </w:r>
    </w:p>
    <w:p w14:paraId="47DD520F" w14:textId="77777777" w:rsidR="0096465F" w:rsidRPr="0015400F" w:rsidRDefault="0096465F" w:rsidP="0015400F">
      <w:pPr>
        <w:shd w:val="clear" w:color="auto" w:fill="FFFFFF"/>
        <w:spacing w:line="360" w:lineRule="auto"/>
        <w:jc w:val="both"/>
        <w:rPr>
          <w:rFonts w:ascii="Book Antiqua" w:eastAsia="Times New Roman" w:hAnsi="Book Antiqua" w:cs="Calibri"/>
          <w:color w:val="222222"/>
          <w:sz w:val="22"/>
          <w:szCs w:val="22"/>
        </w:rPr>
      </w:pPr>
    </w:p>
    <w:p w14:paraId="2531D8FE" w14:textId="432C7977" w:rsidR="00D93622" w:rsidRPr="00192983" w:rsidRDefault="009B0327" w:rsidP="00D93622">
      <w:pPr>
        <w:shd w:val="clear" w:color="auto" w:fill="FFFFFF"/>
        <w:spacing w:line="360" w:lineRule="auto"/>
        <w:jc w:val="both"/>
        <w:rPr>
          <w:rFonts w:ascii="Book Antiqua" w:eastAsia="Times New Roman" w:hAnsi="Book Antiqua" w:cs="Calibri"/>
          <w:i/>
          <w:color w:val="222222"/>
          <w:sz w:val="22"/>
          <w:szCs w:val="22"/>
        </w:rPr>
      </w:pPr>
      <w:r w:rsidRPr="0015400F">
        <w:rPr>
          <w:rFonts w:ascii="Book Antiqua" w:eastAsia="Times New Roman" w:hAnsi="Book Antiqua" w:cs="Calibri"/>
          <w:i/>
          <w:color w:val="222222"/>
          <w:sz w:val="22"/>
          <w:szCs w:val="22"/>
        </w:rPr>
        <w:t>Archaeology</w:t>
      </w:r>
    </w:p>
    <w:p w14:paraId="43D539A5" w14:textId="08235511" w:rsidR="00D93622" w:rsidRPr="00D93622" w:rsidRDefault="00D93622" w:rsidP="00D93622">
      <w:pPr>
        <w:pStyle w:val="ListParagraph"/>
        <w:numPr>
          <w:ilvl w:val="0"/>
          <w:numId w:val="5"/>
        </w:numPr>
        <w:shd w:val="clear" w:color="auto" w:fill="FFFFFF"/>
        <w:spacing w:line="360" w:lineRule="auto"/>
        <w:jc w:val="both"/>
        <w:rPr>
          <w:rFonts w:ascii="Book Antiqua" w:eastAsia="Times New Roman" w:hAnsi="Book Antiqua" w:cs="Calibri"/>
          <w:color w:val="222222"/>
          <w:sz w:val="22"/>
          <w:szCs w:val="22"/>
        </w:rPr>
      </w:pPr>
      <w:r w:rsidRPr="0015400F">
        <w:rPr>
          <w:rFonts w:ascii="Book Antiqua" w:eastAsia="Times New Roman" w:hAnsi="Book Antiqua" w:cs="Calibri"/>
          <w:color w:val="222222"/>
          <w:sz w:val="22"/>
          <w:szCs w:val="22"/>
        </w:rPr>
        <w:t xml:space="preserve">To the </w:t>
      </w:r>
      <w:r>
        <w:rPr>
          <w:rFonts w:ascii="Book Antiqua" w:eastAsia="Times New Roman" w:hAnsi="Book Antiqua" w:cs="Calibri"/>
          <w:color w:val="222222"/>
          <w:sz w:val="22"/>
          <w:szCs w:val="22"/>
        </w:rPr>
        <w:t xml:space="preserve">heritage balance and </w:t>
      </w:r>
      <w:r w:rsidRPr="0015400F">
        <w:rPr>
          <w:rFonts w:ascii="Book Antiqua" w:eastAsia="Times New Roman" w:hAnsi="Book Antiqua" w:cs="Calibri"/>
          <w:color w:val="222222"/>
          <w:sz w:val="22"/>
          <w:szCs w:val="22"/>
        </w:rPr>
        <w:t xml:space="preserve">overall planning balance needs to be added the potential impact </w:t>
      </w:r>
      <w:r w:rsidR="00BD7727">
        <w:rPr>
          <w:rFonts w:ascii="Book Antiqua" w:eastAsia="Times New Roman" w:hAnsi="Book Antiqua" w:cs="Calibri"/>
          <w:color w:val="222222"/>
          <w:sz w:val="22"/>
          <w:szCs w:val="22"/>
        </w:rPr>
        <w:t>on</w:t>
      </w:r>
      <w:r w:rsidRPr="0015400F">
        <w:rPr>
          <w:rFonts w:ascii="Book Antiqua" w:eastAsia="Times New Roman" w:hAnsi="Book Antiqua" w:cs="Calibri"/>
          <w:color w:val="222222"/>
          <w:sz w:val="22"/>
          <w:szCs w:val="22"/>
        </w:rPr>
        <w:t xml:space="preserve"> archaeological assets</w:t>
      </w:r>
      <w:r>
        <w:rPr>
          <w:rFonts w:ascii="Book Antiqua" w:eastAsia="Times New Roman" w:hAnsi="Book Antiqua" w:cs="Calibri"/>
          <w:color w:val="222222"/>
          <w:sz w:val="22"/>
          <w:szCs w:val="22"/>
        </w:rPr>
        <w:t xml:space="preserve"> </w:t>
      </w:r>
      <w:r w:rsidRPr="0015400F">
        <w:rPr>
          <w:rFonts w:ascii="Book Antiqua" w:eastAsia="Times New Roman" w:hAnsi="Book Antiqua" w:cs="Calibri"/>
          <w:color w:val="222222"/>
          <w:sz w:val="22"/>
          <w:szCs w:val="22"/>
        </w:rPr>
        <w:t xml:space="preserve">as a result of the </w:t>
      </w:r>
      <w:r>
        <w:rPr>
          <w:rFonts w:ascii="Book Antiqua" w:eastAsia="Times New Roman" w:hAnsi="Book Antiqua" w:cs="Calibri"/>
          <w:color w:val="222222"/>
          <w:sz w:val="22"/>
          <w:szCs w:val="22"/>
        </w:rPr>
        <w:t xml:space="preserve">proposed </w:t>
      </w:r>
      <w:r w:rsidRPr="0015400F">
        <w:rPr>
          <w:rFonts w:ascii="Book Antiqua" w:eastAsia="Times New Roman" w:hAnsi="Book Antiqua" w:cs="Calibri"/>
          <w:color w:val="222222"/>
          <w:sz w:val="22"/>
          <w:szCs w:val="22"/>
        </w:rPr>
        <w:t>basement works</w:t>
      </w:r>
      <w:r>
        <w:rPr>
          <w:rFonts w:ascii="Book Antiqua" w:eastAsia="Times New Roman" w:hAnsi="Book Antiqua" w:cs="Calibri"/>
          <w:color w:val="222222"/>
          <w:sz w:val="22"/>
          <w:szCs w:val="22"/>
        </w:rPr>
        <w:t>. Archaeological assets are non-designated heritage assets. As things stand the impact on these assets remains unknown</w:t>
      </w:r>
      <w:r w:rsidR="00BD7727">
        <w:rPr>
          <w:rFonts w:ascii="Book Antiqua" w:eastAsia="Times New Roman" w:hAnsi="Book Antiqua" w:cs="Calibri"/>
          <w:color w:val="222222"/>
          <w:sz w:val="22"/>
          <w:szCs w:val="22"/>
        </w:rPr>
        <w:t xml:space="preserve"> (despite LPA’s repeated information requests)</w:t>
      </w:r>
      <w:r w:rsidRPr="0015400F">
        <w:rPr>
          <w:rFonts w:ascii="Book Antiqua" w:eastAsia="Times New Roman" w:hAnsi="Book Antiqua" w:cs="Calibri"/>
          <w:color w:val="222222"/>
          <w:sz w:val="22"/>
          <w:szCs w:val="22"/>
        </w:rPr>
        <w:t xml:space="preserve">. In accordance with NPPF para. 189 further appropriate assessment or field evaluation </w:t>
      </w:r>
      <w:r>
        <w:rPr>
          <w:rFonts w:ascii="Book Antiqua" w:eastAsia="Times New Roman" w:hAnsi="Book Antiqua" w:cs="Calibri"/>
          <w:color w:val="222222"/>
          <w:sz w:val="22"/>
          <w:szCs w:val="22"/>
        </w:rPr>
        <w:t xml:space="preserve">is needed </w:t>
      </w:r>
      <w:r w:rsidRPr="0015400F">
        <w:rPr>
          <w:rFonts w:ascii="Book Antiqua" w:eastAsia="Times New Roman" w:hAnsi="Book Antiqua" w:cs="Calibri"/>
          <w:color w:val="222222"/>
          <w:sz w:val="22"/>
          <w:szCs w:val="22"/>
        </w:rPr>
        <w:t>before it is possible to assess the significance of the assets which may be impacted.</w:t>
      </w:r>
      <w:r>
        <w:rPr>
          <w:rStyle w:val="FootnoteReference"/>
          <w:rFonts w:ascii="Book Antiqua" w:eastAsia="Times New Roman" w:hAnsi="Book Antiqua" w:cs="Calibri"/>
          <w:color w:val="222222"/>
          <w:sz w:val="22"/>
          <w:szCs w:val="22"/>
        </w:rPr>
        <w:footnoteReference w:id="37"/>
      </w:r>
      <w:r w:rsidRPr="0015400F">
        <w:rPr>
          <w:rFonts w:ascii="Book Antiqua" w:eastAsia="Times New Roman" w:hAnsi="Book Antiqua" w:cs="Calibri"/>
          <w:color w:val="222222"/>
          <w:sz w:val="22"/>
          <w:szCs w:val="22"/>
        </w:rPr>
        <w:t xml:space="preserve"> </w:t>
      </w:r>
      <w:r>
        <w:rPr>
          <w:rFonts w:ascii="Book Antiqua" w:eastAsia="Times New Roman" w:hAnsi="Book Antiqua" w:cs="Calibri"/>
          <w:color w:val="222222"/>
          <w:sz w:val="22"/>
          <w:szCs w:val="22"/>
        </w:rPr>
        <w:t xml:space="preserve">Para 197 of the NPPF requires any impact to the significance of a non-designated heritage asset to be taken into account in determining the application. </w:t>
      </w:r>
      <w:r w:rsidR="00BD7727">
        <w:rPr>
          <w:rFonts w:ascii="Book Antiqua" w:eastAsia="Times New Roman" w:hAnsi="Book Antiqua" w:cs="Calibri"/>
          <w:color w:val="222222"/>
          <w:sz w:val="22"/>
          <w:szCs w:val="22"/>
        </w:rPr>
        <w:t xml:space="preserve">At present this cannot be assessed due to the lack of information. </w:t>
      </w:r>
      <w:r w:rsidRPr="0015400F">
        <w:rPr>
          <w:rFonts w:ascii="Book Antiqua" w:eastAsia="Times New Roman" w:hAnsi="Book Antiqua" w:cs="Calibri"/>
          <w:color w:val="222222"/>
          <w:sz w:val="22"/>
          <w:szCs w:val="22"/>
        </w:rPr>
        <w:t>The LPA</w:t>
      </w:r>
      <w:r>
        <w:rPr>
          <w:rFonts w:ascii="Book Antiqua" w:eastAsia="Times New Roman" w:hAnsi="Book Antiqua" w:cs="Calibri"/>
          <w:color w:val="222222"/>
          <w:sz w:val="22"/>
          <w:szCs w:val="22"/>
        </w:rPr>
        <w:t xml:space="preserve"> and the statutory consultee Greater London Archaeology Advisory Service</w:t>
      </w:r>
      <w:r w:rsidRPr="0015400F">
        <w:rPr>
          <w:rFonts w:ascii="Book Antiqua" w:eastAsia="Times New Roman" w:hAnsi="Book Antiqua" w:cs="Calibri"/>
          <w:color w:val="222222"/>
          <w:sz w:val="22"/>
          <w:szCs w:val="22"/>
        </w:rPr>
        <w:t xml:space="preserve"> do not consider this</w:t>
      </w:r>
      <w:r>
        <w:rPr>
          <w:rFonts w:ascii="Book Antiqua" w:eastAsia="Times New Roman" w:hAnsi="Book Antiqua" w:cs="Calibri"/>
          <w:color w:val="222222"/>
          <w:sz w:val="22"/>
          <w:szCs w:val="22"/>
        </w:rPr>
        <w:t xml:space="preserve"> omission</w:t>
      </w:r>
      <w:r w:rsidRPr="0015400F">
        <w:rPr>
          <w:rFonts w:ascii="Book Antiqua" w:eastAsia="Times New Roman" w:hAnsi="Book Antiqua" w:cs="Calibri"/>
          <w:color w:val="222222"/>
          <w:sz w:val="22"/>
          <w:szCs w:val="22"/>
        </w:rPr>
        <w:t xml:space="preserve"> </w:t>
      </w:r>
      <w:r>
        <w:rPr>
          <w:rFonts w:ascii="Book Antiqua" w:eastAsia="Times New Roman" w:hAnsi="Book Antiqua" w:cs="Calibri"/>
          <w:color w:val="222222"/>
          <w:sz w:val="22"/>
          <w:szCs w:val="22"/>
        </w:rPr>
        <w:t>can be</w:t>
      </w:r>
      <w:r w:rsidRPr="0015400F">
        <w:rPr>
          <w:rFonts w:ascii="Book Antiqua" w:eastAsia="Times New Roman" w:hAnsi="Book Antiqua" w:cs="Calibri"/>
          <w:color w:val="222222"/>
          <w:sz w:val="22"/>
          <w:szCs w:val="22"/>
        </w:rPr>
        <w:t xml:space="preserve"> addressed Condition 5.  </w:t>
      </w:r>
    </w:p>
    <w:p w14:paraId="624DED68" w14:textId="77777777" w:rsidR="009B0327" w:rsidRPr="0015400F" w:rsidRDefault="009B0327" w:rsidP="0015400F">
      <w:pPr>
        <w:spacing w:line="360" w:lineRule="auto"/>
        <w:jc w:val="both"/>
        <w:rPr>
          <w:rFonts w:ascii="Book Antiqua" w:hAnsi="Book Antiqua"/>
          <w:b/>
          <w:sz w:val="22"/>
          <w:szCs w:val="22"/>
          <w:u w:val="single"/>
        </w:rPr>
      </w:pPr>
    </w:p>
    <w:p w14:paraId="6166B62F" w14:textId="37A32E0E" w:rsidR="00AB757B" w:rsidRPr="0015400F" w:rsidRDefault="00B04044" w:rsidP="0015400F">
      <w:pPr>
        <w:spacing w:line="360" w:lineRule="auto"/>
        <w:jc w:val="both"/>
        <w:rPr>
          <w:rFonts w:ascii="Book Antiqua" w:hAnsi="Book Antiqua"/>
          <w:b/>
          <w:sz w:val="22"/>
          <w:szCs w:val="22"/>
          <w:u w:val="single"/>
        </w:rPr>
      </w:pPr>
      <w:r>
        <w:rPr>
          <w:rFonts w:ascii="Book Antiqua" w:hAnsi="Book Antiqua"/>
          <w:b/>
          <w:sz w:val="22"/>
          <w:szCs w:val="22"/>
          <w:u w:val="single"/>
        </w:rPr>
        <w:t xml:space="preserve">Reason for refusal 3 - Poor </w:t>
      </w:r>
      <w:r w:rsidR="00AB757B" w:rsidRPr="0015400F">
        <w:rPr>
          <w:rFonts w:ascii="Book Antiqua" w:hAnsi="Book Antiqua"/>
          <w:b/>
          <w:sz w:val="22"/>
          <w:szCs w:val="22"/>
          <w:u w:val="single"/>
        </w:rPr>
        <w:t xml:space="preserve">Living conditions </w:t>
      </w:r>
    </w:p>
    <w:p w14:paraId="4A981303" w14:textId="164686D4" w:rsidR="00AB757B" w:rsidRPr="0015400F" w:rsidRDefault="00B04044" w:rsidP="00320655">
      <w:pPr>
        <w:pStyle w:val="ListParagraph"/>
        <w:numPr>
          <w:ilvl w:val="0"/>
          <w:numId w:val="5"/>
        </w:numPr>
        <w:spacing w:line="360" w:lineRule="auto"/>
        <w:jc w:val="both"/>
        <w:rPr>
          <w:rFonts w:ascii="Book Antiqua" w:hAnsi="Book Antiqua"/>
          <w:sz w:val="22"/>
          <w:szCs w:val="22"/>
        </w:rPr>
      </w:pPr>
      <w:r>
        <w:rPr>
          <w:rFonts w:ascii="Book Antiqua" w:hAnsi="Book Antiqua"/>
          <w:sz w:val="22"/>
          <w:szCs w:val="22"/>
        </w:rPr>
        <w:t xml:space="preserve">Despite the range of </w:t>
      </w:r>
      <w:r w:rsidRPr="0015400F">
        <w:rPr>
          <w:rFonts w:ascii="Book Antiqua" w:hAnsi="Book Antiqua"/>
          <w:sz w:val="22"/>
          <w:szCs w:val="22"/>
        </w:rPr>
        <w:t>“exceptional facilities”</w:t>
      </w:r>
      <w:r>
        <w:rPr>
          <w:rFonts w:ascii="Book Antiqua" w:hAnsi="Book Antiqua"/>
          <w:sz w:val="22"/>
          <w:szCs w:val="22"/>
        </w:rPr>
        <w:t xml:space="preserve"> provided, t</w:t>
      </w:r>
      <w:r w:rsidR="00AB757B" w:rsidRPr="0015400F">
        <w:rPr>
          <w:rFonts w:ascii="Book Antiqua" w:hAnsi="Book Antiqua"/>
          <w:sz w:val="22"/>
          <w:szCs w:val="22"/>
        </w:rPr>
        <w:t xml:space="preserve">he LPA considers the proposed HMO would not meet policy requirements for good quality shared living accommodation. In particular, </w:t>
      </w:r>
      <w:r w:rsidR="00D67C0F" w:rsidRPr="0015400F">
        <w:rPr>
          <w:rFonts w:ascii="Book Antiqua" w:hAnsi="Book Antiqua"/>
          <w:sz w:val="22"/>
          <w:szCs w:val="22"/>
        </w:rPr>
        <w:t xml:space="preserve">and </w:t>
      </w:r>
      <w:r w:rsidR="00AB757B" w:rsidRPr="0015400F">
        <w:rPr>
          <w:rFonts w:ascii="Book Antiqua" w:hAnsi="Book Antiqua"/>
          <w:sz w:val="22"/>
          <w:szCs w:val="22"/>
        </w:rPr>
        <w:t>as Ms Milientijevic will explain, the LPA considers:</w:t>
      </w:r>
    </w:p>
    <w:p w14:paraId="6AC3F9C3" w14:textId="77777777" w:rsidR="00AB757B" w:rsidRPr="0015400F" w:rsidRDefault="00AB757B" w:rsidP="0015400F">
      <w:pPr>
        <w:pStyle w:val="ListParagraph"/>
        <w:spacing w:line="360" w:lineRule="auto"/>
        <w:jc w:val="both"/>
        <w:rPr>
          <w:rFonts w:ascii="Book Antiqua" w:hAnsi="Book Antiqua"/>
          <w:sz w:val="22"/>
          <w:szCs w:val="22"/>
        </w:rPr>
      </w:pPr>
    </w:p>
    <w:p w14:paraId="5806CF43" w14:textId="70A16F4B" w:rsidR="00D67C0F" w:rsidRPr="00BD7727" w:rsidRDefault="008D3F13" w:rsidP="00BD7727">
      <w:pPr>
        <w:pStyle w:val="ListParagraph"/>
        <w:numPr>
          <w:ilvl w:val="0"/>
          <w:numId w:val="13"/>
        </w:numPr>
        <w:spacing w:line="360" w:lineRule="auto"/>
        <w:jc w:val="both"/>
        <w:rPr>
          <w:sz w:val="22"/>
          <w:szCs w:val="22"/>
        </w:rPr>
      </w:pPr>
      <w:r>
        <w:rPr>
          <w:rFonts w:ascii="Book Antiqua" w:hAnsi="Book Antiqua"/>
          <w:sz w:val="22"/>
          <w:szCs w:val="22"/>
        </w:rPr>
        <w:t>d</w:t>
      </w:r>
      <w:r w:rsidR="00AB757B" w:rsidRPr="0015400F">
        <w:rPr>
          <w:rFonts w:ascii="Book Antiqua" w:hAnsi="Book Antiqua"/>
          <w:sz w:val="22"/>
          <w:szCs w:val="22"/>
        </w:rPr>
        <w:t>aylight levels to the communal areas, namely to the living space, kitchen and dining areas, on the first and second floor</w:t>
      </w:r>
      <w:r w:rsidR="00D67C0F" w:rsidRPr="0015400F">
        <w:rPr>
          <w:rFonts w:ascii="Book Antiqua" w:hAnsi="Book Antiqua"/>
          <w:sz w:val="22"/>
          <w:szCs w:val="22"/>
        </w:rPr>
        <w:t xml:space="preserve"> (and one LKD on the third floor)</w:t>
      </w:r>
      <w:r w:rsidR="00AB757B" w:rsidRPr="0015400F">
        <w:rPr>
          <w:rFonts w:ascii="Book Antiqua" w:hAnsi="Book Antiqua"/>
          <w:sz w:val="22"/>
          <w:szCs w:val="22"/>
        </w:rPr>
        <w:t xml:space="preserve"> </w:t>
      </w:r>
      <w:r w:rsidR="00D67C0F" w:rsidRPr="0015400F">
        <w:rPr>
          <w:rFonts w:ascii="Book Antiqua" w:hAnsi="Book Antiqua"/>
          <w:sz w:val="22"/>
          <w:szCs w:val="22"/>
        </w:rPr>
        <w:t>would</w:t>
      </w:r>
      <w:r w:rsidR="00AB757B" w:rsidRPr="0015400F">
        <w:rPr>
          <w:rFonts w:ascii="Book Antiqua" w:hAnsi="Book Antiqua"/>
          <w:sz w:val="22"/>
          <w:szCs w:val="22"/>
        </w:rPr>
        <w:t xml:space="preserve"> fall short of the BRE guidelines</w:t>
      </w:r>
      <w:r w:rsidR="009B0327" w:rsidRPr="0015400F">
        <w:rPr>
          <w:rStyle w:val="FootnoteReference"/>
          <w:rFonts w:ascii="Book Antiqua" w:hAnsi="Book Antiqua"/>
          <w:sz w:val="22"/>
          <w:szCs w:val="22"/>
        </w:rPr>
        <w:footnoteReference w:id="38"/>
      </w:r>
      <w:r w:rsidR="00AB757B" w:rsidRPr="0015400F">
        <w:rPr>
          <w:rFonts w:ascii="Book Antiqua" w:hAnsi="Book Antiqua"/>
          <w:sz w:val="22"/>
          <w:szCs w:val="22"/>
        </w:rPr>
        <w:t xml:space="preserve"> for expected Average Daylight Factor for these spaces. Given that these areas will serve as the primary living and amenity space for up to </w:t>
      </w:r>
      <w:r w:rsidR="00D67C0F" w:rsidRPr="0015400F">
        <w:rPr>
          <w:rFonts w:ascii="Book Antiqua" w:hAnsi="Book Antiqua"/>
          <w:sz w:val="22"/>
          <w:szCs w:val="22"/>
        </w:rPr>
        <w:t xml:space="preserve">82 occupiers of these floors </w:t>
      </w:r>
      <w:r w:rsidR="00AB757B" w:rsidRPr="0015400F">
        <w:rPr>
          <w:rFonts w:ascii="Book Antiqua" w:hAnsi="Book Antiqua"/>
          <w:sz w:val="22"/>
          <w:szCs w:val="22"/>
        </w:rPr>
        <w:t>this amounts to a breach of Local Plan policy D.DH8</w:t>
      </w:r>
      <w:r w:rsidR="00D67C0F" w:rsidRPr="0015400F">
        <w:rPr>
          <w:rFonts w:ascii="Book Antiqua" w:hAnsi="Book Antiqua"/>
          <w:sz w:val="22"/>
          <w:szCs w:val="22"/>
        </w:rPr>
        <w:t xml:space="preserve"> 1(c)</w:t>
      </w:r>
      <w:r w:rsidR="00D67C0F" w:rsidRPr="0015400F">
        <w:rPr>
          <w:rStyle w:val="FootnoteReference"/>
          <w:rFonts w:ascii="Book Antiqua" w:hAnsi="Book Antiqua"/>
          <w:sz w:val="22"/>
          <w:szCs w:val="22"/>
        </w:rPr>
        <w:footnoteReference w:id="39"/>
      </w:r>
      <w:r w:rsidR="00AB757B" w:rsidRPr="0015400F">
        <w:rPr>
          <w:rFonts w:ascii="Book Antiqua" w:hAnsi="Book Antiqua"/>
          <w:sz w:val="22"/>
          <w:szCs w:val="22"/>
        </w:rPr>
        <w:t xml:space="preserve"> which requires all new residential development to achieve adequate levels of daylight.</w:t>
      </w:r>
    </w:p>
    <w:p w14:paraId="25DC56B3" w14:textId="77777777" w:rsidR="00D93622" w:rsidRPr="0015400F" w:rsidRDefault="00D93622" w:rsidP="00D93622">
      <w:pPr>
        <w:pStyle w:val="ListParagraph"/>
        <w:numPr>
          <w:ilvl w:val="0"/>
          <w:numId w:val="13"/>
        </w:numPr>
        <w:spacing w:line="360" w:lineRule="auto"/>
        <w:jc w:val="both"/>
        <w:rPr>
          <w:rFonts w:ascii="Book Antiqua" w:hAnsi="Book Antiqua"/>
          <w:sz w:val="22"/>
          <w:szCs w:val="22"/>
        </w:rPr>
      </w:pPr>
      <w:r>
        <w:rPr>
          <w:rFonts w:ascii="Book Antiqua" w:hAnsi="Book Antiqua"/>
          <w:sz w:val="22"/>
          <w:szCs w:val="22"/>
        </w:rPr>
        <w:t>t</w:t>
      </w:r>
      <w:r w:rsidRPr="0015400F">
        <w:rPr>
          <w:rFonts w:ascii="Book Antiqua" w:hAnsi="Book Antiqua"/>
          <w:sz w:val="22"/>
          <w:szCs w:val="22"/>
        </w:rPr>
        <w:t xml:space="preserve">he HMO </w:t>
      </w:r>
      <w:r>
        <w:rPr>
          <w:rFonts w:ascii="Book Antiqua" w:hAnsi="Book Antiqua"/>
          <w:sz w:val="22"/>
          <w:szCs w:val="22"/>
        </w:rPr>
        <w:t xml:space="preserve">also </w:t>
      </w:r>
      <w:r w:rsidRPr="0015400F">
        <w:rPr>
          <w:rFonts w:ascii="Book Antiqua" w:hAnsi="Book Antiqua"/>
          <w:sz w:val="22"/>
          <w:szCs w:val="22"/>
        </w:rPr>
        <w:t xml:space="preserve">provides insufficient external communal amenity space for the number of </w:t>
      </w:r>
      <w:r>
        <w:rPr>
          <w:rFonts w:ascii="Book Antiqua" w:hAnsi="Book Antiqua"/>
          <w:sz w:val="22"/>
          <w:szCs w:val="22"/>
        </w:rPr>
        <w:t>HMO rooms</w:t>
      </w:r>
      <w:r w:rsidRPr="0015400F">
        <w:rPr>
          <w:rFonts w:ascii="Book Antiqua" w:hAnsi="Book Antiqua"/>
          <w:sz w:val="22"/>
          <w:szCs w:val="22"/>
        </w:rPr>
        <w:t xml:space="preserve"> in conflict with planning policy</w:t>
      </w:r>
      <w:r>
        <w:rPr>
          <w:rFonts w:ascii="Book Antiqua" w:hAnsi="Book Antiqua"/>
          <w:sz w:val="22"/>
          <w:szCs w:val="22"/>
        </w:rPr>
        <w:t xml:space="preserve"> D.H3 5(c)</w:t>
      </w:r>
      <w:r w:rsidRPr="0015400F">
        <w:rPr>
          <w:rFonts w:ascii="Book Antiqua" w:hAnsi="Book Antiqua"/>
          <w:sz w:val="22"/>
          <w:szCs w:val="22"/>
        </w:rPr>
        <w:t xml:space="preserve">.  </w:t>
      </w:r>
    </w:p>
    <w:p w14:paraId="263CD789" w14:textId="16C6E5BD" w:rsidR="00D128B9" w:rsidRDefault="00D128B9" w:rsidP="0015400F">
      <w:pPr>
        <w:pStyle w:val="ListParagraph"/>
        <w:spacing w:line="360" w:lineRule="auto"/>
        <w:jc w:val="both"/>
        <w:rPr>
          <w:sz w:val="22"/>
          <w:szCs w:val="22"/>
        </w:rPr>
      </w:pPr>
    </w:p>
    <w:p w14:paraId="67683689" w14:textId="159760ED" w:rsidR="006A74F8" w:rsidRPr="006A74F8" w:rsidRDefault="006A74F8" w:rsidP="006A74F8">
      <w:pPr>
        <w:pStyle w:val="ListParagraph"/>
        <w:numPr>
          <w:ilvl w:val="0"/>
          <w:numId w:val="5"/>
        </w:numPr>
        <w:spacing w:line="360" w:lineRule="auto"/>
        <w:jc w:val="both"/>
        <w:rPr>
          <w:rFonts w:ascii="Book Antiqua" w:hAnsi="Book Antiqua"/>
          <w:sz w:val="22"/>
          <w:szCs w:val="22"/>
        </w:rPr>
      </w:pPr>
      <w:r w:rsidRPr="006A74F8">
        <w:rPr>
          <w:rFonts w:ascii="Book Antiqua" w:hAnsi="Book Antiqua"/>
          <w:sz w:val="22"/>
          <w:szCs w:val="22"/>
        </w:rPr>
        <w:t>These conflicts with policy are relevant to the overall planning balance.</w:t>
      </w:r>
    </w:p>
    <w:p w14:paraId="1D8F3EDE" w14:textId="77777777" w:rsidR="00B41385" w:rsidRPr="0015400F" w:rsidRDefault="00B41385" w:rsidP="0015400F">
      <w:pPr>
        <w:pStyle w:val="ListParagraph"/>
        <w:spacing w:line="360" w:lineRule="auto"/>
        <w:rPr>
          <w:sz w:val="22"/>
          <w:szCs w:val="22"/>
        </w:rPr>
      </w:pPr>
    </w:p>
    <w:p w14:paraId="6F87829B" w14:textId="4DF64D77" w:rsidR="00F87EB0" w:rsidRPr="0015400F" w:rsidRDefault="00137566" w:rsidP="0015400F">
      <w:pPr>
        <w:spacing w:line="360" w:lineRule="auto"/>
        <w:rPr>
          <w:rFonts w:ascii="Book Antiqua" w:hAnsi="Book Antiqua"/>
          <w:b/>
          <w:sz w:val="22"/>
          <w:szCs w:val="22"/>
          <w:u w:val="single"/>
        </w:rPr>
      </w:pPr>
      <w:r w:rsidRPr="0015400F">
        <w:rPr>
          <w:rFonts w:ascii="Book Antiqua" w:hAnsi="Book Antiqua"/>
          <w:b/>
          <w:sz w:val="22"/>
          <w:szCs w:val="22"/>
          <w:u w:val="single"/>
        </w:rPr>
        <w:t>Overall planning balance and conclusion</w:t>
      </w:r>
    </w:p>
    <w:p w14:paraId="7CAD9D66" w14:textId="77777777" w:rsidR="00A268A7" w:rsidRPr="006A74F8" w:rsidRDefault="00A268A7" w:rsidP="006A74F8">
      <w:pPr>
        <w:spacing w:line="360" w:lineRule="auto"/>
        <w:jc w:val="both"/>
        <w:rPr>
          <w:rFonts w:ascii="Book Antiqua" w:hAnsi="Book Antiqua"/>
          <w:sz w:val="22"/>
          <w:szCs w:val="22"/>
        </w:rPr>
      </w:pPr>
    </w:p>
    <w:p w14:paraId="735CB922" w14:textId="1B9FDD7B" w:rsidR="00137566" w:rsidRDefault="006A74F8" w:rsidP="006A74F8">
      <w:pPr>
        <w:pStyle w:val="ListParagraph"/>
        <w:numPr>
          <w:ilvl w:val="0"/>
          <w:numId w:val="5"/>
        </w:numPr>
        <w:spacing w:line="360" w:lineRule="auto"/>
        <w:jc w:val="both"/>
        <w:rPr>
          <w:rFonts w:ascii="Book Antiqua" w:hAnsi="Book Antiqua"/>
          <w:sz w:val="22"/>
          <w:szCs w:val="22"/>
        </w:rPr>
      </w:pPr>
      <w:r>
        <w:rPr>
          <w:rFonts w:ascii="Book Antiqua" w:hAnsi="Book Antiqua"/>
          <w:sz w:val="22"/>
          <w:szCs w:val="22"/>
        </w:rPr>
        <w:t>T</w:t>
      </w:r>
      <w:r w:rsidRPr="0015400F">
        <w:rPr>
          <w:rFonts w:ascii="Book Antiqua" w:hAnsi="Book Antiqua"/>
          <w:sz w:val="22"/>
          <w:szCs w:val="22"/>
        </w:rPr>
        <w:t>he Appellant fails to show that its particular co-living scheme</w:t>
      </w:r>
      <w:r w:rsidR="008D3F13">
        <w:rPr>
          <w:rFonts w:ascii="Book Antiqua" w:hAnsi="Book Antiqua"/>
          <w:sz w:val="22"/>
          <w:szCs w:val="22"/>
        </w:rPr>
        <w:t xml:space="preserve"> aimed at young professionals with an array of </w:t>
      </w:r>
      <w:r w:rsidR="00417681">
        <w:rPr>
          <w:rFonts w:ascii="Book Antiqua" w:hAnsi="Book Antiqua"/>
          <w:sz w:val="22"/>
          <w:szCs w:val="22"/>
        </w:rPr>
        <w:t>“exce</w:t>
      </w:r>
      <w:r w:rsidR="00BD7727">
        <w:rPr>
          <w:rFonts w:ascii="Book Antiqua" w:hAnsi="Book Antiqua"/>
          <w:sz w:val="22"/>
          <w:szCs w:val="22"/>
        </w:rPr>
        <w:t>llent</w:t>
      </w:r>
      <w:r w:rsidR="00417681">
        <w:rPr>
          <w:rFonts w:ascii="Book Antiqua" w:hAnsi="Book Antiqua"/>
          <w:sz w:val="22"/>
          <w:szCs w:val="22"/>
        </w:rPr>
        <w:t xml:space="preserve"> facilities”</w:t>
      </w:r>
      <w:r>
        <w:rPr>
          <w:rFonts w:ascii="Book Antiqua" w:hAnsi="Book Antiqua"/>
          <w:sz w:val="22"/>
          <w:szCs w:val="22"/>
        </w:rPr>
        <w:t xml:space="preserve"> </w:t>
      </w:r>
      <w:r w:rsidRPr="0015400F">
        <w:rPr>
          <w:rFonts w:ascii="Book Antiqua" w:hAnsi="Book Antiqua"/>
          <w:sz w:val="22"/>
          <w:szCs w:val="22"/>
        </w:rPr>
        <w:t xml:space="preserve">meets “an identified need” in this location. </w:t>
      </w:r>
      <w:r>
        <w:rPr>
          <w:rFonts w:ascii="Book Antiqua" w:hAnsi="Book Antiqua"/>
          <w:sz w:val="22"/>
          <w:szCs w:val="22"/>
        </w:rPr>
        <w:t xml:space="preserve">It also </w:t>
      </w:r>
      <w:r w:rsidR="00137566" w:rsidRPr="0015400F">
        <w:rPr>
          <w:rFonts w:ascii="Book Antiqua" w:hAnsi="Book Antiqua"/>
          <w:sz w:val="22"/>
          <w:szCs w:val="22"/>
        </w:rPr>
        <w:t>fails to demonstrate that its schem</w:t>
      </w:r>
      <w:r w:rsidR="007D7B5C" w:rsidRPr="0015400F">
        <w:rPr>
          <w:rFonts w:ascii="Book Antiqua" w:hAnsi="Book Antiqua"/>
          <w:sz w:val="22"/>
          <w:szCs w:val="22"/>
        </w:rPr>
        <w:t>e</w:t>
      </w:r>
      <w:r w:rsidR="00D93622">
        <w:rPr>
          <w:rFonts w:ascii="Book Antiqua" w:hAnsi="Book Antiqua"/>
          <w:sz w:val="22"/>
          <w:szCs w:val="22"/>
        </w:rPr>
        <w:t xml:space="preserve"> is “low cost” or that it</w:t>
      </w:r>
      <w:r w:rsidR="007F6199" w:rsidRPr="0015400F">
        <w:rPr>
          <w:rFonts w:ascii="Book Antiqua" w:hAnsi="Book Antiqua"/>
          <w:sz w:val="22"/>
          <w:szCs w:val="22"/>
        </w:rPr>
        <w:t xml:space="preserve"> provides an appropriate </w:t>
      </w:r>
      <w:r w:rsidR="007D7B5C" w:rsidRPr="0015400F">
        <w:rPr>
          <w:rFonts w:ascii="Book Antiqua" w:hAnsi="Book Antiqua"/>
          <w:sz w:val="22"/>
          <w:szCs w:val="22"/>
        </w:rPr>
        <w:t xml:space="preserve">amount </w:t>
      </w:r>
      <w:r w:rsidR="00137566" w:rsidRPr="0015400F">
        <w:rPr>
          <w:rFonts w:ascii="Book Antiqua" w:hAnsi="Book Antiqua"/>
          <w:sz w:val="22"/>
          <w:szCs w:val="22"/>
        </w:rPr>
        <w:t xml:space="preserve">affordable housing. That matters because the provision of this much-needed form of housing is critical to achieving sustainable development. The scheme misses the opportunity to provide </w:t>
      </w:r>
      <w:r w:rsidR="00D93622">
        <w:rPr>
          <w:rFonts w:ascii="Book Antiqua" w:hAnsi="Book Antiqua"/>
          <w:sz w:val="22"/>
          <w:szCs w:val="22"/>
        </w:rPr>
        <w:t xml:space="preserve">“low cost housing” or contribute to </w:t>
      </w:r>
      <w:r w:rsidR="00137566" w:rsidRPr="0015400F">
        <w:rPr>
          <w:rFonts w:ascii="Book Antiqua" w:hAnsi="Book Antiqua"/>
          <w:sz w:val="22"/>
          <w:szCs w:val="22"/>
        </w:rPr>
        <w:t>affordable housing</w:t>
      </w:r>
      <w:r w:rsidR="007F6199" w:rsidRPr="0015400F">
        <w:rPr>
          <w:rFonts w:ascii="Book Antiqua" w:hAnsi="Book Antiqua"/>
          <w:sz w:val="22"/>
          <w:szCs w:val="22"/>
        </w:rPr>
        <w:t xml:space="preserve"> and thereby provide the sort of housing which </w:t>
      </w:r>
      <w:r w:rsidR="007F6199" w:rsidRPr="006A74F8">
        <w:rPr>
          <w:rFonts w:ascii="Book Antiqua" w:hAnsi="Book Antiqua"/>
          <w:i/>
          <w:sz w:val="22"/>
          <w:szCs w:val="22"/>
        </w:rPr>
        <w:t>would</w:t>
      </w:r>
      <w:r w:rsidR="007F6199" w:rsidRPr="0015400F">
        <w:rPr>
          <w:rFonts w:ascii="Book Antiqua" w:hAnsi="Book Antiqua"/>
          <w:sz w:val="22"/>
          <w:szCs w:val="22"/>
        </w:rPr>
        <w:t xml:space="preserve"> meet the LPA’s strategic need. The appeal scheme </w:t>
      </w:r>
      <w:r w:rsidR="00BD7727">
        <w:rPr>
          <w:rFonts w:ascii="Book Antiqua" w:hAnsi="Book Antiqua"/>
          <w:sz w:val="22"/>
          <w:szCs w:val="22"/>
        </w:rPr>
        <w:t xml:space="preserve">thus </w:t>
      </w:r>
      <w:r w:rsidR="007F6199" w:rsidRPr="0015400F">
        <w:rPr>
          <w:rFonts w:ascii="Book Antiqua" w:hAnsi="Book Antiqua"/>
          <w:sz w:val="22"/>
          <w:szCs w:val="22"/>
        </w:rPr>
        <w:t>conflict</w:t>
      </w:r>
      <w:r w:rsidR="00BD7727">
        <w:rPr>
          <w:rFonts w:ascii="Book Antiqua" w:hAnsi="Book Antiqua"/>
          <w:sz w:val="22"/>
          <w:szCs w:val="22"/>
        </w:rPr>
        <w:t>s</w:t>
      </w:r>
      <w:r w:rsidR="007F6199" w:rsidRPr="0015400F">
        <w:rPr>
          <w:rFonts w:ascii="Book Antiqua" w:hAnsi="Book Antiqua"/>
          <w:sz w:val="22"/>
          <w:szCs w:val="22"/>
        </w:rPr>
        <w:t xml:space="preserve"> with </w:t>
      </w:r>
      <w:r>
        <w:rPr>
          <w:rFonts w:ascii="Book Antiqua" w:hAnsi="Book Antiqua"/>
          <w:sz w:val="22"/>
          <w:szCs w:val="22"/>
        </w:rPr>
        <w:t xml:space="preserve">several policies in the </w:t>
      </w:r>
      <w:r w:rsidR="007F6199" w:rsidRPr="0015400F">
        <w:rPr>
          <w:rFonts w:ascii="Book Antiqua" w:hAnsi="Book Antiqua"/>
          <w:sz w:val="22"/>
          <w:szCs w:val="22"/>
        </w:rPr>
        <w:t xml:space="preserve"> </w:t>
      </w:r>
      <w:r w:rsidR="00137566" w:rsidRPr="0015400F">
        <w:rPr>
          <w:rFonts w:ascii="Book Antiqua" w:hAnsi="Book Antiqua"/>
          <w:sz w:val="22"/>
          <w:szCs w:val="22"/>
        </w:rPr>
        <w:t>recently adopted Local Plan</w:t>
      </w:r>
      <w:r>
        <w:rPr>
          <w:rFonts w:ascii="Book Antiqua" w:hAnsi="Book Antiqua"/>
          <w:sz w:val="22"/>
          <w:szCs w:val="22"/>
        </w:rPr>
        <w:t xml:space="preserve"> </w:t>
      </w:r>
      <w:r w:rsidRPr="0015400F">
        <w:rPr>
          <w:rFonts w:ascii="Book Antiqua" w:hAnsi="Book Antiqua"/>
          <w:sz w:val="22"/>
          <w:szCs w:val="22"/>
        </w:rPr>
        <w:t>S.H1, D.H2 and D.H7</w:t>
      </w:r>
      <w:r w:rsidR="007F6199" w:rsidRPr="0015400F">
        <w:rPr>
          <w:rFonts w:ascii="Book Antiqua" w:hAnsi="Book Antiqua"/>
          <w:sz w:val="22"/>
          <w:szCs w:val="22"/>
        </w:rPr>
        <w:t xml:space="preserve"> and the draft </w:t>
      </w:r>
      <w:r w:rsidR="00137566" w:rsidRPr="0015400F">
        <w:rPr>
          <w:rFonts w:ascii="Book Antiqua" w:hAnsi="Book Antiqua"/>
          <w:sz w:val="22"/>
          <w:szCs w:val="22"/>
        </w:rPr>
        <w:t>new London Plan to which</w:t>
      </w:r>
      <w:r w:rsidR="007F6199" w:rsidRPr="0015400F">
        <w:rPr>
          <w:rFonts w:ascii="Book Antiqua" w:hAnsi="Book Antiqua"/>
          <w:sz w:val="22"/>
          <w:szCs w:val="22"/>
        </w:rPr>
        <w:t xml:space="preserve"> </w:t>
      </w:r>
      <w:r w:rsidR="00137566" w:rsidRPr="0015400F">
        <w:rPr>
          <w:rFonts w:ascii="Book Antiqua" w:hAnsi="Book Antiqua"/>
          <w:sz w:val="22"/>
          <w:szCs w:val="22"/>
        </w:rPr>
        <w:t>substantial weight must be given.</w:t>
      </w:r>
      <w:r w:rsidR="007F6199" w:rsidRPr="0015400F">
        <w:rPr>
          <w:rFonts w:ascii="Book Antiqua" w:hAnsi="Book Antiqua"/>
          <w:sz w:val="22"/>
          <w:szCs w:val="22"/>
        </w:rPr>
        <w:t xml:space="preserve"> </w:t>
      </w:r>
    </w:p>
    <w:p w14:paraId="2E30FB0A" w14:textId="77777777" w:rsidR="006A74F8" w:rsidRPr="006A74F8" w:rsidRDefault="006A74F8" w:rsidP="006A74F8">
      <w:pPr>
        <w:pStyle w:val="ListParagraph"/>
        <w:spacing w:line="360" w:lineRule="auto"/>
        <w:jc w:val="both"/>
        <w:rPr>
          <w:rFonts w:ascii="Book Antiqua" w:hAnsi="Book Antiqua"/>
          <w:sz w:val="22"/>
          <w:szCs w:val="22"/>
        </w:rPr>
      </w:pPr>
    </w:p>
    <w:p w14:paraId="2149F634" w14:textId="572F1A5D" w:rsidR="00D93622" w:rsidRPr="00D93622" w:rsidRDefault="006A74F8" w:rsidP="00D93622">
      <w:pPr>
        <w:pStyle w:val="ListParagraph"/>
        <w:numPr>
          <w:ilvl w:val="0"/>
          <w:numId w:val="5"/>
        </w:numPr>
        <w:spacing w:line="360" w:lineRule="auto"/>
        <w:jc w:val="both"/>
        <w:rPr>
          <w:rFonts w:ascii="Book Antiqua" w:hAnsi="Book Antiqua"/>
          <w:sz w:val="22"/>
          <w:szCs w:val="22"/>
        </w:rPr>
      </w:pPr>
      <w:r>
        <w:rPr>
          <w:rFonts w:ascii="Book Antiqua" w:hAnsi="Book Antiqua"/>
          <w:sz w:val="22"/>
          <w:szCs w:val="22"/>
        </w:rPr>
        <w:t xml:space="preserve">In respect of the heritage balance, </w:t>
      </w:r>
      <w:r w:rsidRPr="0015400F">
        <w:rPr>
          <w:rFonts w:ascii="Book Antiqua" w:hAnsi="Book Antiqua"/>
          <w:sz w:val="22"/>
          <w:szCs w:val="22"/>
        </w:rPr>
        <w:t>the desirability of preserving the character or appearance of the conservation area must be given “considerable importance and weight”</w:t>
      </w:r>
      <w:r>
        <w:rPr>
          <w:rStyle w:val="FootnoteReference"/>
          <w:rFonts w:ascii="Book Antiqua" w:hAnsi="Book Antiqua"/>
          <w:sz w:val="22"/>
          <w:szCs w:val="22"/>
        </w:rPr>
        <w:footnoteReference w:id="40"/>
      </w:r>
      <w:r w:rsidRPr="0015400F">
        <w:rPr>
          <w:rFonts w:ascii="Book Antiqua" w:hAnsi="Book Antiqua"/>
          <w:sz w:val="22"/>
          <w:szCs w:val="22"/>
        </w:rPr>
        <w:t>. Even if the harm is “limited” this should be given “considerable importance and weight”</w:t>
      </w:r>
      <w:r w:rsidR="005677CA">
        <w:rPr>
          <w:rStyle w:val="FootnoteReference"/>
          <w:rFonts w:ascii="Book Antiqua" w:hAnsi="Book Antiqua"/>
          <w:sz w:val="22"/>
          <w:szCs w:val="22"/>
        </w:rPr>
        <w:footnoteReference w:id="41"/>
      </w:r>
      <w:r w:rsidR="005677CA">
        <w:rPr>
          <w:rFonts w:ascii="Book Antiqua" w:hAnsi="Book Antiqua"/>
          <w:sz w:val="22"/>
          <w:szCs w:val="22"/>
        </w:rPr>
        <w:t xml:space="preserve"> and the Inspector </w:t>
      </w:r>
      <w:r w:rsidR="00BD7727">
        <w:rPr>
          <w:rFonts w:ascii="Book Antiqua" w:hAnsi="Book Antiqua"/>
          <w:sz w:val="22"/>
          <w:szCs w:val="22"/>
        </w:rPr>
        <w:t xml:space="preserve">needs to be </w:t>
      </w:r>
      <w:r w:rsidR="005677CA">
        <w:rPr>
          <w:rFonts w:ascii="Book Antiqua" w:hAnsi="Book Antiqua"/>
          <w:sz w:val="22"/>
          <w:szCs w:val="22"/>
        </w:rPr>
        <w:t>satisfied that “clear and convincing justification” exists for this harm</w:t>
      </w:r>
      <w:r w:rsidRPr="0015400F">
        <w:rPr>
          <w:rFonts w:ascii="Book Antiqua" w:hAnsi="Book Antiqua"/>
          <w:sz w:val="22"/>
          <w:szCs w:val="22"/>
        </w:rPr>
        <w:t xml:space="preserve">. </w:t>
      </w:r>
      <w:r>
        <w:rPr>
          <w:rFonts w:ascii="Book Antiqua" w:hAnsi="Book Antiqua"/>
          <w:sz w:val="22"/>
          <w:szCs w:val="22"/>
        </w:rPr>
        <w:t>The</w:t>
      </w:r>
      <w:r w:rsidRPr="0015400F">
        <w:rPr>
          <w:rFonts w:ascii="Book Antiqua" w:hAnsi="Book Antiqua"/>
          <w:sz w:val="22"/>
          <w:szCs w:val="22"/>
        </w:rPr>
        <w:t xml:space="preserve"> LPA will present evidence that the harm to the designated asset is not outweighed by the modest public benefits of the scheme</w:t>
      </w:r>
      <w:r w:rsidR="00D93622">
        <w:rPr>
          <w:rFonts w:ascii="Book Antiqua" w:hAnsi="Book Antiqua"/>
          <w:sz w:val="22"/>
          <w:szCs w:val="22"/>
        </w:rPr>
        <w:t>. Moreover, c</w:t>
      </w:r>
      <w:r w:rsidR="00D93622" w:rsidRPr="00D93622">
        <w:rPr>
          <w:rFonts w:ascii="Book Antiqua" w:hAnsi="Book Antiqua"/>
          <w:sz w:val="22"/>
          <w:szCs w:val="22"/>
        </w:rPr>
        <w:t>onsideration should be given to the lack of information on the impact of non-designated</w:t>
      </w:r>
      <w:r w:rsidR="00D93622">
        <w:rPr>
          <w:rFonts w:ascii="Book Antiqua" w:hAnsi="Book Antiqua"/>
          <w:sz w:val="22"/>
          <w:szCs w:val="22"/>
        </w:rPr>
        <w:t xml:space="preserve"> archaeological</w:t>
      </w:r>
      <w:r w:rsidR="00D93622" w:rsidRPr="00D93622">
        <w:rPr>
          <w:rFonts w:ascii="Book Antiqua" w:hAnsi="Book Antiqua"/>
          <w:sz w:val="22"/>
          <w:szCs w:val="22"/>
        </w:rPr>
        <w:t xml:space="preserve"> assets.</w:t>
      </w:r>
    </w:p>
    <w:p w14:paraId="280DB55A" w14:textId="77777777" w:rsidR="006A74F8" w:rsidRPr="006A74F8" w:rsidRDefault="006A74F8" w:rsidP="006A74F8">
      <w:pPr>
        <w:pStyle w:val="ListParagraph"/>
        <w:rPr>
          <w:rFonts w:ascii="Book Antiqua" w:hAnsi="Book Antiqua"/>
          <w:sz w:val="22"/>
          <w:szCs w:val="22"/>
        </w:rPr>
      </w:pPr>
    </w:p>
    <w:p w14:paraId="430897B1" w14:textId="113EF755" w:rsidR="00137566" w:rsidRPr="006A74F8" w:rsidRDefault="00137566" w:rsidP="006A74F8">
      <w:pPr>
        <w:pStyle w:val="ListParagraph"/>
        <w:numPr>
          <w:ilvl w:val="0"/>
          <w:numId w:val="5"/>
        </w:numPr>
        <w:spacing w:line="360" w:lineRule="auto"/>
        <w:jc w:val="both"/>
        <w:rPr>
          <w:rFonts w:ascii="Book Antiqua" w:hAnsi="Book Antiqua"/>
          <w:sz w:val="22"/>
          <w:szCs w:val="22"/>
        </w:rPr>
      </w:pPr>
      <w:r w:rsidRPr="0015400F">
        <w:rPr>
          <w:rFonts w:ascii="Book Antiqua" w:hAnsi="Book Antiqua"/>
          <w:sz w:val="22"/>
          <w:szCs w:val="22"/>
        </w:rPr>
        <w:t xml:space="preserve">Development plan conflict </w:t>
      </w:r>
      <w:r w:rsidR="00BD7727">
        <w:rPr>
          <w:rFonts w:ascii="Book Antiqua" w:hAnsi="Book Antiqua"/>
          <w:sz w:val="22"/>
          <w:szCs w:val="22"/>
        </w:rPr>
        <w:t>(</w:t>
      </w:r>
      <w:r w:rsidRPr="0015400F">
        <w:rPr>
          <w:rFonts w:ascii="Book Antiqua" w:hAnsi="Book Antiqua"/>
          <w:sz w:val="22"/>
          <w:szCs w:val="22"/>
        </w:rPr>
        <w:t xml:space="preserve">in terms of </w:t>
      </w:r>
      <w:r w:rsidR="006A74F8">
        <w:rPr>
          <w:rFonts w:ascii="Book Antiqua" w:hAnsi="Book Antiqua"/>
          <w:sz w:val="22"/>
          <w:szCs w:val="22"/>
        </w:rPr>
        <w:t xml:space="preserve">the lack of </w:t>
      </w:r>
      <w:r w:rsidRPr="0015400F">
        <w:rPr>
          <w:rFonts w:ascii="Book Antiqua" w:hAnsi="Book Antiqua"/>
          <w:sz w:val="22"/>
          <w:szCs w:val="22"/>
        </w:rPr>
        <w:t>affordable housing provision</w:t>
      </w:r>
      <w:r w:rsidR="00A268A7" w:rsidRPr="0015400F">
        <w:rPr>
          <w:rFonts w:ascii="Book Antiqua" w:hAnsi="Book Antiqua"/>
          <w:sz w:val="22"/>
          <w:szCs w:val="22"/>
        </w:rPr>
        <w:t xml:space="preserve">, the </w:t>
      </w:r>
      <w:r w:rsidR="00192983">
        <w:rPr>
          <w:rFonts w:ascii="Book Antiqua" w:hAnsi="Book Antiqua"/>
          <w:sz w:val="22"/>
          <w:szCs w:val="22"/>
        </w:rPr>
        <w:t xml:space="preserve">failure to demonstrate that the scheme meets </w:t>
      </w:r>
      <w:r w:rsidR="00A268A7" w:rsidRPr="0015400F">
        <w:rPr>
          <w:rFonts w:ascii="Book Antiqua" w:hAnsi="Book Antiqua"/>
          <w:sz w:val="22"/>
          <w:szCs w:val="22"/>
        </w:rPr>
        <w:t>an identified need</w:t>
      </w:r>
      <w:r w:rsidR="006A74F8">
        <w:rPr>
          <w:rFonts w:ascii="Book Antiqua" w:hAnsi="Book Antiqua"/>
          <w:sz w:val="22"/>
          <w:szCs w:val="22"/>
        </w:rPr>
        <w:t>, the impact on the character and appearance of the area</w:t>
      </w:r>
      <w:r w:rsidR="00A268A7" w:rsidRPr="0015400F">
        <w:rPr>
          <w:rFonts w:ascii="Book Antiqua" w:hAnsi="Book Antiqua"/>
          <w:sz w:val="22"/>
          <w:szCs w:val="22"/>
        </w:rPr>
        <w:t xml:space="preserve"> and </w:t>
      </w:r>
      <w:r w:rsidR="0056550F" w:rsidRPr="0015400F">
        <w:rPr>
          <w:rFonts w:ascii="Book Antiqua" w:hAnsi="Book Antiqua"/>
          <w:sz w:val="22"/>
          <w:szCs w:val="22"/>
        </w:rPr>
        <w:t xml:space="preserve">poor </w:t>
      </w:r>
      <w:r w:rsidR="00A268A7" w:rsidRPr="0015400F">
        <w:rPr>
          <w:rFonts w:ascii="Book Antiqua" w:hAnsi="Book Antiqua"/>
          <w:sz w:val="22"/>
          <w:szCs w:val="22"/>
        </w:rPr>
        <w:t>living conditions</w:t>
      </w:r>
      <w:r w:rsidR="00BD7727">
        <w:rPr>
          <w:rFonts w:ascii="Book Antiqua" w:hAnsi="Book Antiqua"/>
          <w:sz w:val="22"/>
          <w:szCs w:val="22"/>
        </w:rPr>
        <w:t>)</w:t>
      </w:r>
      <w:r w:rsidRPr="0015400F">
        <w:rPr>
          <w:rFonts w:ascii="Book Antiqua" w:hAnsi="Book Antiqua"/>
          <w:sz w:val="22"/>
          <w:szCs w:val="22"/>
        </w:rPr>
        <w:t xml:space="preserve"> needs to be weighed against the benefits of the scheme. Those benefits include </w:t>
      </w:r>
      <w:r w:rsidR="00BD7727">
        <w:rPr>
          <w:rFonts w:ascii="Book Antiqua" w:hAnsi="Book Antiqua"/>
          <w:sz w:val="22"/>
          <w:szCs w:val="22"/>
        </w:rPr>
        <w:t>some</w:t>
      </w:r>
      <w:r w:rsidR="0056550F" w:rsidRPr="0015400F">
        <w:rPr>
          <w:rFonts w:ascii="Book Antiqua" w:hAnsi="Book Antiqua"/>
          <w:sz w:val="22"/>
          <w:szCs w:val="22"/>
        </w:rPr>
        <w:t xml:space="preserve"> regeneration benefits, transport benefits and job creation associated with the scheme.</w:t>
      </w:r>
      <w:r w:rsidR="0056550F" w:rsidRPr="0015400F">
        <w:rPr>
          <w:rStyle w:val="FootnoteReference"/>
          <w:rFonts w:ascii="Book Antiqua" w:hAnsi="Book Antiqua"/>
          <w:sz w:val="22"/>
          <w:szCs w:val="22"/>
        </w:rPr>
        <w:footnoteReference w:id="42"/>
      </w:r>
      <w:r w:rsidR="0056550F" w:rsidRPr="0015400F">
        <w:rPr>
          <w:rFonts w:ascii="Book Antiqua" w:hAnsi="Book Antiqua"/>
          <w:sz w:val="22"/>
          <w:szCs w:val="22"/>
        </w:rPr>
        <w:t xml:space="preserve"> </w:t>
      </w:r>
      <w:r w:rsidRPr="0015400F">
        <w:rPr>
          <w:rFonts w:ascii="Book Antiqua" w:hAnsi="Book Antiqua"/>
          <w:sz w:val="22"/>
          <w:szCs w:val="22"/>
        </w:rPr>
        <w:t xml:space="preserve">However, even accounting for those, under the planning balance required by s.38(6) of the Planning and Compulsory Purchase Act 2004, the benefits of the scheme do not outweigh the conflict such as to justify the grant of permission. </w:t>
      </w:r>
      <w:r w:rsidR="006A74F8">
        <w:rPr>
          <w:rFonts w:ascii="Book Antiqua" w:hAnsi="Book Antiqua"/>
          <w:sz w:val="22"/>
          <w:szCs w:val="22"/>
        </w:rPr>
        <w:t>Accordingly, the LPA will</w:t>
      </w:r>
      <w:r w:rsidR="008D3F13">
        <w:rPr>
          <w:rFonts w:ascii="Book Antiqua" w:hAnsi="Book Antiqua"/>
          <w:sz w:val="22"/>
          <w:szCs w:val="22"/>
        </w:rPr>
        <w:t>,</w:t>
      </w:r>
      <w:r w:rsidR="006A74F8">
        <w:rPr>
          <w:rFonts w:ascii="Book Antiqua" w:hAnsi="Book Antiqua"/>
          <w:sz w:val="22"/>
          <w:szCs w:val="22"/>
        </w:rPr>
        <w:t xml:space="preserve"> in due course</w:t>
      </w:r>
      <w:r w:rsidR="008D3F13">
        <w:rPr>
          <w:rFonts w:ascii="Book Antiqua" w:hAnsi="Book Antiqua"/>
          <w:sz w:val="22"/>
          <w:szCs w:val="22"/>
        </w:rPr>
        <w:t>,</w:t>
      </w:r>
      <w:r w:rsidR="006A74F8">
        <w:rPr>
          <w:rFonts w:ascii="Book Antiqua" w:hAnsi="Book Antiqua"/>
          <w:sz w:val="22"/>
          <w:szCs w:val="22"/>
        </w:rPr>
        <w:t xml:space="preserve"> invite the Inspector to dismiss the appeal</w:t>
      </w:r>
      <w:r w:rsidRPr="006A74F8">
        <w:rPr>
          <w:rFonts w:ascii="Book Antiqua" w:eastAsia="Times New Roman" w:hAnsi="Book Antiqua" w:cs="Times New Roman"/>
          <w:color w:val="202124"/>
          <w:sz w:val="22"/>
          <w:szCs w:val="22"/>
          <w:shd w:val="clear" w:color="auto" w:fill="FFFFFF"/>
        </w:rPr>
        <w:t>.</w:t>
      </w:r>
    </w:p>
    <w:p w14:paraId="1EEA2BDC" w14:textId="77777777" w:rsidR="00137566" w:rsidRPr="0015400F" w:rsidRDefault="00137566" w:rsidP="0015400F">
      <w:pPr>
        <w:spacing w:line="360" w:lineRule="auto"/>
        <w:rPr>
          <w:rFonts w:ascii="Book Antiqua" w:hAnsi="Book Antiqua"/>
          <w:b/>
          <w:sz w:val="22"/>
          <w:szCs w:val="22"/>
        </w:rPr>
      </w:pPr>
    </w:p>
    <w:p w14:paraId="01593E15" w14:textId="318C1965" w:rsidR="00137566" w:rsidRPr="0015400F" w:rsidRDefault="00137566" w:rsidP="0015400F">
      <w:pPr>
        <w:pStyle w:val="ListParagraph"/>
        <w:spacing w:line="360" w:lineRule="auto"/>
        <w:jc w:val="right"/>
        <w:rPr>
          <w:rFonts w:ascii="Book Antiqua" w:hAnsi="Book Antiqua"/>
          <w:b/>
          <w:sz w:val="22"/>
          <w:szCs w:val="22"/>
        </w:rPr>
      </w:pPr>
      <w:r w:rsidRPr="0015400F">
        <w:rPr>
          <w:rFonts w:ascii="Book Antiqua" w:hAnsi="Book Antiqua"/>
          <w:b/>
          <w:sz w:val="22"/>
          <w:szCs w:val="22"/>
        </w:rPr>
        <w:t>Sarah Sackman</w:t>
      </w:r>
    </w:p>
    <w:p w14:paraId="38591EC2" w14:textId="7C37710D" w:rsidR="00137566" w:rsidRPr="00BD7727" w:rsidRDefault="007F6199" w:rsidP="00BD7727">
      <w:pPr>
        <w:pStyle w:val="ListParagraph"/>
        <w:spacing w:line="360" w:lineRule="auto"/>
        <w:jc w:val="right"/>
        <w:rPr>
          <w:rFonts w:ascii="Book Antiqua" w:hAnsi="Book Antiqua"/>
          <w:b/>
          <w:sz w:val="22"/>
          <w:szCs w:val="22"/>
        </w:rPr>
      </w:pPr>
      <w:r w:rsidRPr="0015400F">
        <w:rPr>
          <w:rFonts w:ascii="Book Antiqua" w:hAnsi="Book Antiqua"/>
          <w:b/>
          <w:sz w:val="22"/>
          <w:szCs w:val="22"/>
        </w:rPr>
        <w:t>12</w:t>
      </w:r>
      <w:r w:rsidR="00137566" w:rsidRPr="0015400F">
        <w:rPr>
          <w:rFonts w:ascii="Book Antiqua" w:hAnsi="Book Antiqua"/>
          <w:b/>
          <w:sz w:val="22"/>
          <w:szCs w:val="22"/>
        </w:rPr>
        <w:t xml:space="preserve"> January 202</w:t>
      </w:r>
      <w:r w:rsidRPr="0015400F">
        <w:rPr>
          <w:rFonts w:ascii="Book Antiqua" w:hAnsi="Book Antiqua"/>
          <w:b/>
          <w:sz w:val="22"/>
          <w:szCs w:val="22"/>
        </w:rPr>
        <w:t>1</w:t>
      </w:r>
    </w:p>
    <w:sectPr w:rsidR="00137566" w:rsidRPr="00BD7727" w:rsidSect="004402F4">
      <w:footerReference w:type="even" r:id="rId8"/>
      <w:footerReference w:type="default" r:id="rId9"/>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6B08C" w16cex:dateUtc="2021-01-11T11:10:00Z"/>
  <w16cex:commentExtensible w16cex:durableId="23A6B0FE" w16cex:dateUtc="2021-01-11T11:1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708EF" w14:textId="77777777" w:rsidR="007C03F7" w:rsidRDefault="007C03F7" w:rsidP="000A5229">
      <w:r>
        <w:separator/>
      </w:r>
    </w:p>
  </w:endnote>
  <w:endnote w:type="continuationSeparator" w:id="0">
    <w:p w14:paraId="643A3991" w14:textId="77777777" w:rsidR="007C03F7" w:rsidRDefault="007C03F7" w:rsidP="000A5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30568360"/>
      <w:docPartObj>
        <w:docPartGallery w:val="Page Numbers (Bottom of Page)"/>
        <w:docPartUnique/>
      </w:docPartObj>
    </w:sdtPr>
    <w:sdtEndPr>
      <w:rPr>
        <w:rStyle w:val="PageNumber"/>
      </w:rPr>
    </w:sdtEndPr>
    <w:sdtContent>
      <w:p w14:paraId="66D9E1D0" w14:textId="01E66E7A" w:rsidR="006A74F8" w:rsidRDefault="006A74F8" w:rsidP="00A268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54DE1E" w14:textId="77777777" w:rsidR="006A74F8" w:rsidRDefault="006A74F8" w:rsidP="002329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51363437"/>
      <w:docPartObj>
        <w:docPartGallery w:val="Page Numbers (Bottom of Page)"/>
        <w:docPartUnique/>
      </w:docPartObj>
    </w:sdtPr>
    <w:sdtEndPr>
      <w:rPr>
        <w:rStyle w:val="PageNumber"/>
      </w:rPr>
    </w:sdtEndPr>
    <w:sdtContent>
      <w:p w14:paraId="06D84138" w14:textId="70569F82" w:rsidR="006A74F8" w:rsidRDefault="006A74F8" w:rsidP="00A268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17F54">
          <w:rPr>
            <w:rStyle w:val="PageNumber"/>
            <w:noProof/>
          </w:rPr>
          <w:t>3</w:t>
        </w:r>
        <w:r>
          <w:rPr>
            <w:rStyle w:val="PageNumber"/>
          </w:rPr>
          <w:fldChar w:fldCharType="end"/>
        </w:r>
      </w:p>
    </w:sdtContent>
  </w:sdt>
  <w:p w14:paraId="15F58411" w14:textId="77777777" w:rsidR="006A74F8" w:rsidRDefault="006A74F8" w:rsidP="002329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1BA93" w14:textId="77777777" w:rsidR="007C03F7" w:rsidRDefault="007C03F7" w:rsidP="000A5229">
      <w:r>
        <w:separator/>
      </w:r>
    </w:p>
  </w:footnote>
  <w:footnote w:type="continuationSeparator" w:id="0">
    <w:p w14:paraId="14567971" w14:textId="77777777" w:rsidR="007C03F7" w:rsidRDefault="007C03F7" w:rsidP="000A5229">
      <w:r>
        <w:continuationSeparator/>
      </w:r>
    </w:p>
  </w:footnote>
  <w:footnote w:id="1">
    <w:p w14:paraId="666A3FE4" w14:textId="7BD98A0F" w:rsidR="006A74F8" w:rsidRPr="00DB5911" w:rsidRDefault="006A74F8" w:rsidP="002C02FB">
      <w:pPr>
        <w:jc w:val="both"/>
        <w:rPr>
          <w:rFonts w:ascii="Book Antiqua" w:hAnsi="Book Antiqua"/>
          <w:b/>
          <w:sz w:val="20"/>
          <w:szCs w:val="20"/>
        </w:rPr>
      </w:pPr>
      <w:r w:rsidRPr="00DB5911">
        <w:rPr>
          <w:rStyle w:val="FootnoteReference"/>
          <w:rFonts w:ascii="Book Antiqua" w:hAnsi="Book Antiqua"/>
          <w:sz w:val="20"/>
          <w:szCs w:val="20"/>
        </w:rPr>
        <w:footnoteRef/>
      </w:r>
      <w:r w:rsidRPr="00DB5911">
        <w:rPr>
          <w:rFonts w:ascii="Book Antiqua" w:hAnsi="Book Antiqua"/>
          <w:sz w:val="20"/>
          <w:szCs w:val="20"/>
        </w:rPr>
        <w:t xml:space="preserve"> Consent is sought for “</w:t>
      </w:r>
      <w:r w:rsidRPr="00DB5911">
        <w:rPr>
          <w:rFonts w:ascii="Book Antiqua" w:hAnsi="Book Antiqua"/>
          <w:i/>
          <w:sz w:val="20"/>
          <w:szCs w:val="20"/>
        </w:rPr>
        <w:t xml:space="preserve">Demolition of existing building and erection of a building of seven storeys inclusive of two set back floors plus a lower ground floor to provide 109 rooms for short term hostel and HMO accommodation”. </w:t>
      </w:r>
    </w:p>
  </w:footnote>
  <w:footnote w:id="2">
    <w:p w14:paraId="148395F1" w14:textId="0D1239F5" w:rsidR="006A74F8" w:rsidRPr="00DB5911" w:rsidRDefault="006A74F8">
      <w:pPr>
        <w:pStyle w:val="FootnoteText"/>
        <w:rPr>
          <w:rFonts w:ascii="Book Antiqua" w:hAnsi="Book Antiqua"/>
        </w:rPr>
      </w:pPr>
      <w:r w:rsidRPr="00DB5911">
        <w:rPr>
          <w:rStyle w:val="FootnoteReference"/>
          <w:rFonts w:ascii="Book Antiqua" w:hAnsi="Book Antiqua"/>
        </w:rPr>
        <w:footnoteRef/>
      </w:r>
      <w:r w:rsidRPr="00DB5911">
        <w:rPr>
          <w:rFonts w:ascii="Book Antiqua" w:hAnsi="Book Antiqua"/>
        </w:rPr>
        <w:t xml:space="preserve"> </w:t>
      </w:r>
      <w:r w:rsidR="00A52CB7" w:rsidRPr="00DB5911">
        <w:rPr>
          <w:rFonts w:ascii="Book Antiqua" w:hAnsi="Book Antiqua"/>
        </w:rPr>
        <w:t xml:space="preserve">A22 </w:t>
      </w:r>
      <w:r w:rsidR="00DB5911" w:rsidRPr="00DB5911">
        <w:rPr>
          <w:rFonts w:ascii="Book Antiqua" w:hAnsi="Book Antiqua"/>
        </w:rPr>
        <w:t xml:space="preserve">Building Management Plan. </w:t>
      </w:r>
      <w:r w:rsidRPr="00DB5911">
        <w:rPr>
          <w:rFonts w:ascii="Book Antiqua" w:hAnsi="Book Antiqua"/>
        </w:rPr>
        <w:t>12 month assured shorthold tenancies</w:t>
      </w:r>
      <w:r w:rsidR="00A52CB7" w:rsidRPr="00DB5911">
        <w:rPr>
          <w:rFonts w:ascii="Book Antiqua" w:hAnsi="Book Antiqua"/>
        </w:rPr>
        <w:t xml:space="preserve"> for HMO occupants.</w:t>
      </w:r>
      <w:r w:rsidRPr="00DB5911">
        <w:rPr>
          <w:rFonts w:ascii="Book Antiqua" w:hAnsi="Book Antiqua"/>
        </w:rPr>
        <w:t xml:space="preserve"> </w:t>
      </w:r>
    </w:p>
  </w:footnote>
  <w:footnote w:id="3">
    <w:p w14:paraId="13F825A3" w14:textId="62E69B1A" w:rsidR="00A52CB7" w:rsidRPr="00DB5911" w:rsidRDefault="00A52CB7">
      <w:pPr>
        <w:pStyle w:val="FootnoteText"/>
      </w:pPr>
      <w:r w:rsidRPr="00DB5911">
        <w:rPr>
          <w:rStyle w:val="FootnoteReference"/>
        </w:rPr>
        <w:footnoteRef/>
      </w:r>
      <w:r w:rsidRPr="00DB5911">
        <w:t xml:space="preserve"> A22 p.3</w:t>
      </w:r>
    </w:p>
  </w:footnote>
  <w:footnote w:id="4">
    <w:p w14:paraId="59F85191" w14:textId="68ED651E" w:rsidR="006A74F8" w:rsidRPr="00DB5911" w:rsidRDefault="006A74F8" w:rsidP="002C02FB">
      <w:pPr>
        <w:pStyle w:val="FootnoteText"/>
        <w:rPr>
          <w:rFonts w:ascii="Book Antiqua" w:hAnsi="Book Antiqua"/>
        </w:rPr>
      </w:pPr>
      <w:r w:rsidRPr="00DB5911">
        <w:rPr>
          <w:rStyle w:val="FootnoteReference"/>
          <w:rFonts w:ascii="Book Antiqua" w:hAnsi="Book Antiqua"/>
        </w:rPr>
        <w:footnoteRef/>
      </w:r>
      <w:r w:rsidRPr="00DB5911">
        <w:rPr>
          <w:rFonts w:ascii="Book Antiqua" w:hAnsi="Book Antiqua"/>
        </w:rPr>
        <w:t xml:space="preserve"> </w:t>
      </w:r>
      <w:r w:rsidR="00A52CB7" w:rsidRPr="00DB5911">
        <w:rPr>
          <w:rFonts w:ascii="Book Antiqua" w:hAnsi="Book Antiqua"/>
        </w:rPr>
        <w:t>A20</w:t>
      </w:r>
    </w:p>
  </w:footnote>
  <w:footnote w:id="5">
    <w:p w14:paraId="1D7E5730" w14:textId="7598B49B" w:rsidR="006A74F8" w:rsidRPr="00DB5911" w:rsidRDefault="006A74F8">
      <w:pPr>
        <w:pStyle w:val="FootnoteText"/>
        <w:rPr>
          <w:rFonts w:ascii="Book Antiqua" w:hAnsi="Book Antiqua"/>
        </w:rPr>
      </w:pPr>
      <w:r w:rsidRPr="00DB5911">
        <w:rPr>
          <w:rStyle w:val="FootnoteReference"/>
          <w:rFonts w:ascii="Book Antiqua" w:hAnsi="Book Antiqua"/>
        </w:rPr>
        <w:footnoteRef/>
      </w:r>
      <w:r w:rsidRPr="00DB5911">
        <w:rPr>
          <w:rFonts w:ascii="Book Antiqua" w:hAnsi="Book Antiqua"/>
        </w:rPr>
        <w:t xml:space="preserve"> </w:t>
      </w:r>
      <w:r w:rsidR="00DF0F40" w:rsidRPr="00DB5911">
        <w:rPr>
          <w:rFonts w:ascii="Book Antiqua" w:hAnsi="Book Antiqua"/>
        </w:rPr>
        <w:t>A22 Building Management Plan</w:t>
      </w:r>
    </w:p>
  </w:footnote>
  <w:footnote w:id="6">
    <w:p w14:paraId="4D76F802" w14:textId="1E179474" w:rsidR="00E416D3" w:rsidRPr="00DB5911" w:rsidRDefault="00E416D3">
      <w:pPr>
        <w:pStyle w:val="FootnoteText"/>
      </w:pPr>
      <w:r w:rsidRPr="00DB5911">
        <w:rPr>
          <w:rStyle w:val="FootnoteReference"/>
          <w:rFonts w:ascii="Book Antiqua" w:hAnsi="Book Antiqua"/>
        </w:rPr>
        <w:footnoteRef/>
      </w:r>
      <w:r w:rsidRPr="00DB5911">
        <w:rPr>
          <w:rFonts w:ascii="Book Antiqua" w:hAnsi="Book Antiqua"/>
        </w:rPr>
        <w:t xml:space="preserve"> Actual rents likely to be substantially higher on A’s case.</w:t>
      </w:r>
    </w:p>
  </w:footnote>
  <w:footnote w:id="7">
    <w:p w14:paraId="0D0D533D" w14:textId="1F5E3077" w:rsidR="00DF0F40" w:rsidRPr="000F734F" w:rsidRDefault="00DF0F40">
      <w:pPr>
        <w:pStyle w:val="FootnoteText"/>
      </w:pPr>
      <w:r w:rsidRPr="00DB5911">
        <w:rPr>
          <w:rStyle w:val="FootnoteReference"/>
        </w:rPr>
        <w:footnoteRef/>
      </w:r>
      <w:r w:rsidRPr="00DB5911">
        <w:t xml:space="preserve"> </w:t>
      </w:r>
      <w:r w:rsidRPr="000F734F">
        <w:rPr>
          <w:rFonts w:ascii="Book Antiqua" w:hAnsi="Book Antiqua"/>
        </w:rPr>
        <w:t>A12</w:t>
      </w:r>
    </w:p>
  </w:footnote>
  <w:footnote w:id="8">
    <w:p w14:paraId="76EE6290" w14:textId="77777777" w:rsidR="002B7D6A" w:rsidRPr="000F734F" w:rsidRDefault="002B7D6A" w:rsidP="002B7D6A">
      <w:pPr>
        <w:pStyle w:val="FootnoteText"/>
        <w:rPr>
          <w:rFonts w:ascii="Book Antiqua" w:hAnsi="Book Antiqua"/>
        </w:rPr>
      </w:pPr>
      <w:r w:rsidRPr="000F734F">
        <w:rPr>
          <w:rStyle w:val="FootnoteReference"/>
          <w:rFonts w:ascii="Book Antiqua" w:hAnsi="Book Antiqua"/>
        </w:rPr>
        <w:footnoteRef/>
      </w:r>
      <w:r w:rsidRPr="000F734F">
        <w:rPr>
          <w:rFonts w:ascii="Book Antiqua" w:hAnsi="Book Antiqua"/>
        </w:rPr>
        <w:t xml:space="preserve"> Including information on transport impacts, energy assessment, waste management</w:t>
      </w:r>
    </w:p>
  </w:footnote>
  <w:footnote w:id="9">
    <w:p w14:paraId="1B14F95F" w14:textId="2524573D" w:rsidR="000F734F" w:rsidRPr="000F734F" w:rsidRDefault="000F734F">
      <w:pPr>
        <w:pStyle w:val="FootnoteText"/>
      </w:pPr>
      <w:r w:rsidRPr="000F734F">
        <w:rPr>
          <w:rStyle w:val="FootnoteReference"/>
        </w:rPr>
        <w:footnoteRef/>
      </w:r>
      <w:r w:rsidRPr="000F734F">
        <w:t xml:space="preserve"> </w:t>
      </w:r>
      <w:r w:rsidRPr="000F734F">
        <w:rPr>
          <w:rFonts w:ascii="Book Antiqua" w:hAnsi="Book Antiqua"/>
        </w:rPr>
        <w:t>Including the emission rate of the emergency generator and the location of the exhaust on the roof level</w:t>
      </w:r>
    </w:p>
  </w:footnote>
  <w:footnote w:id="10">
    <w:p w14:paraId="5D390E5F" w14:textId="261BBB26" w:rsidR="000F734F" w:rsidRDefault="000F734F">
      <w:pPr>
        <w:pStyle w:val="FootnoteText"/>
      </w:pPr>
      <w:r w:rsidRPr="000F734F">
        <w:rPr>
          <w:rStyle w:val="FootnoteReference"/>
        </w:rPr>
        <w:footnoteRef/>
      </w:r>
      <w:r w:rsidRPr="000F734F">
        <w:t xml:space="preserve"> See LPA note on proposed planning obligation</w:t>
      </w:r>
    </w:p>
  </w:footnote>
  <w:footnote w:id="11">
    <w:p w14:paraId="65DA60FE" w14:textId="0EB9DCD7" w:rsidR="00DF0F40" w:rsidRPr="00DB5911" w:rsidRDefault="00DF0F40">
      <w:pPr>
        <w:pStyle w:val="FootnoteText"/>
      </w:pPr>
      <w:r w:rsidRPr="00DB5911">
        <w:rPr>
          <w:rStyle w:val="FootnoteReference"/>
        </w:rPr>
        <w:footnoteRef/>
      </w:r>
      <w:r w:rsidRPr="00DB5911">
        <w:t xml:space="preserve"> B-02</w:t>
      </w:r>
    </w:p>
  </w:footnote>
  <w:footnote w:id="12">
    <w:p w14:paraId="027DE720" w14:textId="77777777" w:rsidR="006A74F8" w:rsidRPr="00DB5911" w:rsidRDefault="006A74F8" w:rsidP="00A2405E">
      <w:pPr>
        <w:pStyle w:val="FootnoteText"/>
        <w:rPr>
          <w:rFonts w:ascii="Book Antiqua" w:hAnsi="Book Antiqua"/>
        </w:rPr>
      </w:pPr>
      <w:r w:rsidRPr="00DB5911">
        <w:rPr>
          <w:rStyle w:val="FootnoteReference"/>
          <w:rFonts w:ascii="Book Antiqua" w:hAnsi="Book Antiqua"/>
        </w:rPr>
        <w:footnoteRef/>
      </w:r>
      <w:r w:rsidRPr="00DB5911">
        <w:rPr>
          <w:rFonts w:ascii="Book Antiqua" w:hAnsi="Book Antiqua"/>
        </w:rPr>
        <w:t xml:space="preserve"> B-02, p.81 9.28</w:t>
      </w:r>
    </w:p>
  </w:footnote>
  <w:footnote w:id="13">
    <w:p w14:paraId="02871624" w14:textId="77777777" w:rsidR="006A74F8" w:rsidRPr="00DB5911" w:rsidRDefault="006A74F8" w:rsidP="00320655">
      <w:pPr>
        <w:pStyle w:val="FootnoteText"/>
        <w:rPr>
          <w:rFonts w:ascii="Book Antiqua" w:hAnsi="Book Antiqua"/>
        </w:rPr>
      </w:pPr>
      <w:r w:rsidRPr="00DB5911">
        <w:rPr>
          <w:rStyle w:val="FootnoteReference"/>
          <w:rFonts w:ascii="Book Antiqua" w:hAnsi="Book Antiqua"/>
        </w:rPr>
        <w:footnoteRef/>
      </w:r>
      <w:r w:rsidRPr="00DB5911">
        <w:rPr>
          <w:rFonts w:ascii="Book Antiqua" w:hAnsi="Book Antiqua"/>
        </w:rPr>
        <w:t xml:space="preserve"> B-02, p.92 9.69</w:t>
      </w:r>
    </w:p>
  </w:footnote>
  <w:footnote w:id="14">
    <w:p w14:paraId="13691475" w14:textId="77777777" w:rsidR="006A74F8" w:rsidRPr="00DB5911" w:rsidRDefault="006A74F8" w:rsidP="00320655">
      <w:pPr>
        <w:pStyle w:val="FootnoteText"/>
        <w:rPr>
          <w:rFonts w:ascii="Book Antiqua" w:hAnsi="Book Antiqua"/>
        </w:rPr>
      </w:pPr>
      <w:r w:rsidRPr="00DB5911">
        <w:rPr>
          <w:rStyle w:val="FootnoteReference"/>
          <w:rFonts w:ascii="Book Antiqua" w:hAnsi="Book Antiqua"/>
        </w:rPr>
        <w:footnoteRef/>
      </w:r>
      <w:r w:rsidRPr="00DB5911">
        <w:rPr>
          <w:rFonts w:ascii="Book Antiqua" w:hAnsi="Book Antiqua"/>
        </w:rPr>
        <w:t xml:space="preserve"> Ibid.</w:t>
      </w:r>
    </w:p>
  </w:footnote>
  <w:footnote w:id="15">
    <w:p w14:paraId="41429AE2" w14:textId="66F3DE70" w:rsidR="006A74F8" w:rsidRPr="00DB5911" w:rsidRDefault="006A74F8" w:rsidP="00320655">
      <w:pPr>
        <w:pStyle w:val="FootnoteText"/>
        <w:rPr>
          <w:rFonts w:ascii="Book Antiqua" w:hAnsi="Book Antiqua"/>
        </w:rPr>
      </w:pPr>
      <w:r w:rsidRPr="00DB5911">
        <w:rPr>
          <w:rStyle w:val="FootnoteReference"/>
          <w:rFonts w:ascii="Book Antiqua" w:hAnsi="Book Antiqua"/>
        </w:rPr>
        <w:footnoteRef/>
      </w:r>
      <w:r w:rsidRPr="00DB5911">
        <w:rPr>
          <w:rFonts w:ascii="Book Antiqua" w:hAnsi="Book Antiqua"/>
        </w:rPr>
        <w:t xml:space="preserve"> Ibid. </w:t>
      </w:r>
      <w:r w:rsidR="002A5E03" w:rsidRPr="00DB5911">
        <w:rPr>
          <w:rFonts w:ascii="Book Antiqua" w:hAnsi="Book Antiqua"/>
        </w:rPr>
        <w:t>9.69</w:t>
      </w:r>
    </w:p>
  </w:footnote>
  <w:footnote w:id="16">
    <w:p w14:paraId="78E472B5" w14:textId="58BF6FFB" w:rsidR="006A74F8" w:rsidRPr="00DB5911" w:rsidRDefault="006A74F8">
      <w:pPr>
        <w:pStyle w:val="FootnoteText"/>
        <w:rPr>
          <w:rFonts w:ascii="Book Antiqua" w:hAnsi="Book Antiqua"/>
        </w:rPr>
      </w:pPr>
      <w:r w:rsidRPr="00DB5911">
        <w:rPr>
          <w:rStyle w:val="FootnoteReference"/>
          <w:rFonts w:ascii="Book Antiqua" w:hAnsi="Book Antiqua"/>
        </w:rPr>
        <w:footnoteRef/>
      </w:r>
      <w:r w:rsidRPr="00DB5911">
        <w:rPr>
          <w:rFonts w:ascii="Book Antiqua" w:hAnsi="Book Antiqua"/>
        </w:rPr>
        <w:t xml:space="preserve"> B-02, p.92, 9.70</w:t>
      </w:r>
    </w:p>
  </w:footnote>
  <w:footnote w:id="17">
    <w:p w14:paraId="4D9357C5" w14:textId="79EC2C26" w:rsidR="00BD7727" w:rsidRDefault="00BD7727">
      <w:pPr>
        <w:pStyle w:val="FootnoteText"/>
      </w:pPr>
      <w:r>
        <w:rPr>
          <w:rStyle w:val="FootnoteReference"/>
        </w:rPr>
        <w:footnoteRef/>
      </w:r>
      <w:r>
        <w:t xml:space="preserve"> </w:t>
      </w:r>
      <w:r w:rsidRPr="00BD7727">
        <w:rPr>
          <w:rFonts w:ascii="Book Antiqua" w:hAnsi="Book Antiqua"/>
        </w:rPr>
        <w:t>A-19 10.8</w:t>
      </w:r>
    </w:p>
  </w:footnote>
  <w:footnote w:id="18">
    <w:p w14:paraId="1975B9EA" w14:textId="0DB44CAD" w:rsidR="006A74F8" w:rsidRPr="00DB5911" w:rsidRDefault="006A74F8">
      <w:pPr>
        <w:pStyle w:val="FootnoteText"/>
        <w:rPr>
          <w:rFonts w:ascii="Book Antiqua" w:hAnsi="Book Antiqua"/>
        </w:rPr>
      </w:pPr>
      <w:r w:rsidRPr="00DB5911">
        <w:rPr>
          <w:rStyle w:val="FootnoteReference"/>
          <w:rFonts w:ascii="Book Antiqua" w:hAnsi="Book Antiqua"/>
        </w:rPr>
        <w:footnoteRef/>
      </w:r>
      <w:r w:rsidRPr="00DB5911">
        <w:rPr>
          <w:rFonts w:ascii="Book Antiqua" w:hAnsi="Book Antiqua"/>
        </w:rPr>
        <w:t xml:space="preserve"> </w:t>
      </w:r>
      <w:r w:rsidR="00DB5911" w:rsidRPr="00DB5911">
        <w:rPr>
          <w:rFonts w:ascii="Book Antiqua" w:hAnsi="Book Antiqua"/>
        </w:rPr>
        <w:t>James Brown rebuttal proof</w:t>
      </w:r>
    </w:p>
  </w:footnote>
  <w:footnote w:id="19">
    <w:p w14:paraId="454535D9" w14:textId="03D54E47" w:rsidR="002A5E03" w:rsidRPr="00DB5911" w:rsidRDefault="006A74F8">
      <w:pPr>
        <w:pStyle w:val="FootnoteText"/>
        <w:rPr>
          <w:rFonts w:ascii="Book Antiqua" w:hAnsi="Book Antiqua"/>
        </w:rPr>
      </w:pPr>
      <w:r w:rsidRPr="00DB5911">
        <w:rPr>
          <w:rStyle w:val="FootnoteReference"/>
          <w:rFonts w:ascii="Book Antiqua" w:hAnsi="Book Antiqua"/>
        </w:rPr>
        <w:footnoteRef/>
      </w:r>
      <w:r w:rsidRPr="00DB5911">
        <w:rPr>
          <w:rFonts w:ascii="Book Antiqua" w:hAnsi="Book Antiqua"/>
        </w:rPr>
        <w:t xml:space="preserve"> See LPA’s note on proposed s.106 obligation filed on </w:t>
      </w:r>
      <w:r w:rsidR="00DB5911" w:rsidRPr="00DB5911">
        <w:rPr>
          <w:rFonts w:ascii="Book Antiqua" w:hAnsi="Book Antiqua"/>
        </w:rPr>
        <w:t>6</w:t>
      </w:r>
      <w:r w:rsidRPr="00DB5911">
        <w:rPr>
          <w:rFonts w:ascii="Book Antiqua" w:hAnsi="Book Antiqua"/>
        </w:rPr>
        <w:t xml:space="preserve"> January 2021.</w:t>
      </w:r>
      <w:r w:rsidR="002A5E03" w:rsidRPr="00DB5911">
        <w:rPr>
          <w:rFonts w:ascii="Book Antiqua" w:hAnsi="Book Antiqua"/>
        </w:rPr>
        <w:t xml:space="preserve"> </w:t>
      </w:r>
    </w:p>
  </w:footnote>
  <w:footnote w:id="20">
    <w:p w14:paraId="4E0B4A8C" w14:textId="579EC55E" w:rsidR="006A74F8" w:rsidRPr="00DB5911" w:rsidRDefault="006A74F8">
      <w:pPr>
        <w:pStyle w:val="FootnoteText"/>
        <w:rPr>
          <w:rFonts w:ascii="Book Antiqua" w:hAnsi="Book Antiqua"/>
        </w:rPr>
      </w:pPr>
      <w:r w:rsidRPr="00BD7727">
        <w:rPr>
          <w:rStyle w:val="FootnoteReference"/>
          <w:rFonts w:ascii="Book Antiqua" w:hAnsi="Book Antiqua"/>
        </w:rPr>
        <w:footnoteRef/>
      </w:r>
      <w:r w:rsidRPr="00BD7727">
        <w:rPr>
          <w:rFonts w:ascii="Book Antiqua" w:hAnsi="Book Antiqua"/>
        </w:rPr>
        <w:t xml:space="preserve"> </w:t>
      </w:r>
      <w:r w:rsidR="00DB5911" w:rsidRPr="00BD7727">
        <w:rPr>
          <w:rFonts w:ascii="Book Antiqua" w:hAnsi="Book Antiqua"/>
        </w:rPr>
        <w:t>B-02, p.92, 9.70</w:t>
      </w:r>
    </w:p>
  </w:footnote>
  <w:footnote w:id="21">
    <w:p w14:paraId="30828C28" w14:textId="5E6DCEB8" w:rsidR="006A74F8" w:rsidRPr="00DB5911" w:rsidRDefault="006A74F8">
      <w:pPr>
        <w:pStyle w:val="FootnoteText"/>
        <w:rPr>
          <w:rFonts w:ascii="Book Antiqua" w:hAnsi="Book Antiqua"/>
        </w:rPr>
      </w:pPr>
      <w:r w:rsidRPr="00DB5911">
        <w:rPr>
          <w:rStyle w:val="FootnoteReference"/>
          <w:rFonts w:ascii="Book Antiqua" w:hAnsi="Book Antiqua"/>
        </w:rPr>
        <w:footnoteRef/>
      </w:r>
      <w:r w:rsidRPr="00DB5911">
        <w:rPr>
          <w:rFonts w:ascii="Book Antiqua" w:hAnsi="Book Antiqua"/>
        </w:rPr>
        <w:t xml:space="preserve"> </w:t>
      </w:r>
      <w:r w:rsidR="00DB5911" w:rsidRPr="00DB5911">
        <w:rPr>
          <w:rFonts w:ascii="Book Antiqua" w:hAnsi="Book Antiqua"/>
        </w:rPr>
        <w:t>A22 e.g. £39,000 (average income in Tower Hamlets)</w:t>
      </w:r>
    </w:p>
  </w:footnote>
  <w:footnote w:id="22">
    <w:p w14:paraId="754C645C" w14:textId="45D95365" w:rsidR="006A74F8" w:rsidRPr="00DB5911" w:rsidRDefault="006A74F8">
      <w:pPr>
        <w:pStyle w:val="FootnoteText"/>
        <w:rPr>
          <w:rFonts w:ascii="Book Antiqua" w:hAnsi="Book Antiqua"/>
        </w:rPr>
      </w:pPr>
      <w:r w:rsidRPr="00DB5911">
        <w:rPr>
          <w:rStyle w:val="FootnoteReference"/>
          <w:rFonts w:ascii="Book Antiqua" w:hAnsi="Book Antiqua"/>
        </w:rPr>
        <w:footnoteRef/>
      </w:r>
      <w:r w:rsidRPr="00DB5911">
        <w:rPr>
          <w:rFonts w:ascii="Book Antiqua" w:hAnsi="Book Antiqua"/>
        </w:rPr>
        <w:t xml:space="preserve"> B-02 Local Plan, p92, 9.70</w:t>
      </w:r>
    </w:p>
  </w:footnote>
  <w:footnote w:id="23">
    <w:p w14:paraId="28EA0886" w14:textId="2ECD9940" w:rsidR="006A74F8" w:rsidRPr="00DB5911" w:rsidRDefault="006A74F8">
      <w:pPr>
        <w:pStyle w:val="FootnoteText"/>
        <w:rPr>
          <w:rFonts w:ascii="Book Antiqua" w:hAnsi="Book Antiqua"/>
        </w:rPr>
      </w:pPr>
      <w:r w:rsidRPr="00DB5911">
        <w:rPr>
          <w:rStyle w:val="FootnoteReference"/>
          <w:rFonts w:ascii="Book Antiqua" w:hAnsi="Book Antiqua"/>
        </w:rPr>
        <w:footnoteRef/>
      </w:r>
      <w:r w:rsidRPr="00DB5911">
        <w:rPr>
          <w:rFonts w:ascii="Book Antiqua" w:hAnsi="Book Antiqua"/>
        </w:rPr>
        <w:t xml:space="preserve"> B-02, Policy D.H2 </w:t>
      </w:r>
    </w:p>
  </w:footnote>
  <w:footnote w:id="24">
    <w:p w14:paraId="3D473C01" w14:textId="5F75FB46" w:rsidR="006A74F8" w:rsidRPr="00DB5911" w:rsidRDefault="006A74F8">
      <w:pPr>
        <w:pStyle w:val="FootnoteText"/>
        <w:rPr>
          <w:rFonts w:ascii="Book Antiqua" w:hAnsi="Book Antiqua"/>
        </w:rPr>
      </w:pPr>
      <w:r w:rsidRPr="00DB5911">
        <w:rPr>
          <w:rStyle w:val="FootnoteReference"/>
          <w:rFonts w:ascii="Book Antiqua" w:hAnsi="Book Antiqua"/>
        </w:rPr>
        <w:footnoteRef/>
      </w:r>
      <w:r w:rsidRPr="00DB5911">
        <w:rPr>
          <w:rFonts w:ascii="Book Antiqua" w:hAnsi="Book Antiqua"/>
        </w:rPr>
        <w:t xml:space="preserve"> B-02, p. 78 9.19</w:t>
      </w:r>
    </w:p>
  </w:footnote>
  <w:footnote w:id="25">
    <w:p w14:paraId="3E3B75B6" w14:textId="525115C9" w:rsidR="006A74F8" w:rsidRPr="00DB5911" w:rsidRDefault="006A74F8">
      <w:pPr>
        <w:pStyle w:val="FootnoteText"/>
        <w:rPr>
          <w:rFonts w:ascii="Book Antiqua" w:hAnsi="Book Antiqua"/>
        </w:rPr>
      </w:pPr>
      <w:r w:rsidRPr="00DB5911">
        <w:rPr>
          <w:rStyle w:val="FootnoteReference"/>
          <w:rFonts w:ascii="Book Antiqua" w:hAnsi="Book Antiqua"/>
        </w:rPr>
        <w:footnoteRef/>
      </w:r>
      <w:r w:rsidRPr="00DB5911">
        <w:rPr>
          <w:rFonts w:ascii="Book Antiqua" w:hAnsi="Book Antiqua"/>
        </w:rPr>
        <w:t xml:space="preserve"> Ibid. 9.21, 9.28</w:t>
      </w:r>
    </w:p>
  </w:footnote>
  <w:footnote w:id="26">
    <w:p w14:paraId="7E708E2C" w14:textId="6DA1C639" w:rsidR="006A74F8" w:rsidRPr="00DB5911" w:rsidRDefault="006A74F8">
      <w:pPr>
        <w:pStyle w:val="FootnoteText"/>
        <w:rPr>
          <w:rFonts w:ascii="Book Antiqua" w:hAnsi="Book Antiqua"/>
        </w:rPr>
      </w:pPr>
      <w:r w:rsidRPr="00DB5911">
        <w:rPr>
          <w:rStyle w:val="FootnoteReference"/>
          <w:rFonts w:ascii="Book Antiqua" w:hAnsi="Book Antiqua"/>
        </w:rPr>
        <w:footnoteRef/>
      </w:r>
      <w:r w:rsidRPr="00DB5911">
        <w:rPr>
          <w:rFonts w:ascii="Book Antiqua" w:hAnsi="Book Antiqua"/>
        </w:rPr>
        <w:t xml:space="preserve"> </w:t>
      </w:r>
      <w:r w:rsidR="00DB5911" w:rsidRPr="00DB5911">
        <w:rPr>
          <w:rFonts w:ascii="Book Antiqua" w:hAnsi="Book Antiqua"/>
        </w:rPr>
        <w:t>D-02 A’s SoC 4.15</w:t>
      </w:r>
    </w:p>
  </w:footnote>
  <w:footnote w:id="27">
    <w:p w14:paraId="09773947" w14:textId="43A881C2" w:rsidR="00E80E3B" w:rsidRPr="00DB5911" w:rsidRDefault="00E80E3B" w:rsidP="00E80E3B">
      <w:pPr>
        <w:pStyle w:val="FootnoteText"/>
      </w:pPr>
      <w:r w:rsidRPr="00DB5911">
        <w:rPr>
          <w:rStyle w:val="FootnoteReference"/>
        </w:rPr>
        <w:footnoteRef/>
      </w:r>
      <w:r w:rsidRPr="00DB5911">
        <w:t xml:space="preserve"> </w:t>
      </w:r>
      <w:r w:rsidR="00DB5911" w:rsidRPr="00DB5911">
        <w:t xml:space="preserve">A-19 </w:t>
      </w:r>
      <w:r w:rsidRPr="00DB5911">
        <w:rPr>
          <w:rFonts w:ascii="Book Antiqua" w:hAnsi="Book Antiqua"/>
        </w:rPr>
        <w:t>Rapleys ‘Financial Viability Assessment’ 3 December 2019</w:t>
      </w:r>
    </w:p>
  </w:footnote>
  <w:footnote w:id="28">
    <w:p w14:paraId="3DDD1C14" w14:textId="77777777" w:rsidR="00E80E3B" w:rsidRPr="00DB5911" w:rsidRDefault="00E80E3B" w:rsidP="00E80E3B">
      <w:pPr>
        <w:pStyle w:val="FootnoteText"/>
        <w:rPr>
          <w:rFonts w:ascii="Book Antiqua" w:hAnsi="Book Antiqua"/>
        </w:rPr>
      </w:pPr>
      <w:r w:rsidRPr="00DB5911">
        <w:rPr>
          <w:rStyle w:val="FootnoteReference"/>
          <w:rFonts w:ascii="Book Antiqua" w:hAnsi="Book Antiqua"/>
        </w:rPr>
        <w:footnoteRef/>
      </w:r>
      <w:r w:rsidRPr="00DB5911">
        <w:rPr>
          <w:rFonts w:ascii="Book Antiqua" w:hAnsi="Book Antiqua"/>
        </w:rPr>
        <w:t xml:space="preserve">  see </w:t>
      </w:r>
      <w:r w:rsidRPr="00DB5911">
        <w:rPr>
          <w:rFonts w:ascii="Book Antiqua" w:hAnsi="Book Antiqua"/>
          <w:i/>
        </w:rPr>
        <w:t xml:space="preserve">Parkhurst Road Limited v Secretary of State for Communities and Local Government </w:t>
      </w:r>
      <w:r w:rsidRPr="00DB5911">
        <w:rPr>
          <w:rFonts w:ascii="Book Antiqua" w:hAnsi="Book Antiqua"/>
        </w:rPr>
        <w:t>[2018] EWHC 991 Holgate J at [47]-[48]</w:t>
      </w:r>
    </w:p>
  </w:footnote>
  <w:footnote w:id="29">
    <w:p w14:paraId="7097C8E8" w14:textId="7092D47B" w:rsidR="00192983" w:rsidRPr="00DB5911" w:rsidRDefault="00192983">
      <w:pPr>
        <w:pStyle w:val="FootnoteText"/>
        <w:rPr>
          <w:rFonts w:ascii="Book Antiqua" w:hAnsi="Book Antiqua"/>
        </w:rPr>
      </w:pPr>
      <w:r w:rsidRPr="00DB5911">
        <w:rPr>
          <w:rStyle w:val="FootnoteReference"/>
          <w:rFonts w:ascii="Book Antiqua" w:hAnsi="Book Antiqua"/>
        </w:rPr>
        <w:footnoteRef/>
      </w:r>
      <w:r w:rsidRPr="00DB5911">
        <w:rPr>
          <w:rFonts w:ascii="Book Antiqua" w:hAnsi="Book Antiqua"/>
        </w:rPr>
        <w:t xml:space="preserve"> Affordable housing cannot be delivered as shared accommodation. A payment in lieu is supported by the Local Plan and the draft London Plan.</w:t>
      </w:r>
    </w:p>
  </w:footnote>
  <w:footnote w:id="30">
    <w:p w14:paraId="083CBB5F" w14:textId="1760EF8A" w:rsidR="006A74F8" w:rsidRPr="00DB5911" w:rsidRDefault="006A74F8">
      <w:pPr>
        <w:pStyle w:val="FootnoteText"/>
        <w:rPr>
          <w:rFonts w:ascii="Book Antiqua" w:hAnsi="Book Antiqua"/>
        </w:rPr>
      </w:pPr>
      <w:r w:rsidRPr="00DB5911">
        <w:rPr>
          <w:rStyle w:val="FootnoteReference"/>
          <w:rFonts w:ascii="Book Antiqua" w:hAnsi="Book Antiqua"/>
        </w:rPr>
        <w:footnoteRef/>
      </w:r>
      <w:r w:rsidRPr="00DB5911">
        <w:rPr>
          <w:rFonts w:ascii="Book Antiqua" w:hAnsi="Book Antiqua"/>
        </w:rPr>
        <w:t xml:space="preserve"> Reflects Local Plan Policy S.H1, 9.21 which makes clear it is necessary and appropriate to seek financial contributions towards the provision of affordable housing sites of less than 10 units.</w:t>
      </w:r>
    </w:p>
  </w:footnote>
  <w:footnote w:id="31">
    <w:p w14:paraId="1485B8E9" w14:textId="77777777" w:rsidR="006A74F8" w:rsidRPr="00DB5911" w:rsidRDefault="006A74F8" w:rsidP="009B0327">
      <w:pPr>
        <w:pStyle w:val="FootnoteText"/>
        <w:rPr>
          <w:rFonts w:ascii="Book Antiqua" w:hAnsi="Book Antiqua"/>
        </w:rPr>
      </w:pPr>
      <w:r w:rsidRPr="00DB5911">
        <w:rPr>
          <w:rStyle w:val="FootnoteReference"/>
          <w:rFonts w:ascii="Book Antiqua" w:hAnsi="Book Antiqua"/>
        </w:rPr>
        <w:footnoteRef/>
      </w:r>
      <w:r w:rsidRPr="00DB5911">
        <w:rPr>
          <w:rFonts w:ascii="Book Antiqua" w:hAnsi="Book Antiqua"/>
        </w:rPr>
        <w:t xml:space="preserve"> E-05 Council’s Statement of Case 6.50 -6.79</w:t>
      </w:r>
    </w:p>
  </w:footnote>
  <w:footnote w:id="32">
    <w:p w14:paraId="69136E2D" w14:textId="77777777" w:rsidR="006A74F8" w:rsidRPr="00DB5911" w:rsidRDefault="006A74F8" w:rsidP="009B0327">
      <w:pPr>
        <w:pStyle w:val="FootnoteText"/>
        <w:rPr>
          <w:rFonts w:ascii="Book Antiqua" w:hAnsi="Book Antiqua"/>
        </w:rPr>
      </w:pPr>
      <w:r w:rsidRPr="00DB5911">
        <w:rPr>
          <w:rStyle w:val="FootnoteReference"/>
          <w:rFonts w:ascii="Book Antiqua" w:hAnsi="Book Antiqua"/>
        </w:rPr>
        <w:footnoteRef/>
      </w:r>
      <w:r w:rsidRPr="00DB5911">
        <w:rPr>
          <w:rFonts w:ascii="Book Antiqua" w:hAnsi="Book Antiqua"/>
        </w:rPr>
        <w:t xml:space="preserve"> D02 Appendix 4 Heritage note para. 11</w:t>
      </w:r>
    </w:p>
  </w:footnote>
  <w:footnote w:id="33">
    <w:p w14:paraId="2976A2A5" w14:textId="77777777" w:rsidR="006A74F8" w:rsidRPr="00DB5911" w:rsidRDefault="006A74F8" w:rsidP="009B0327">
      <w:pPr>
        <w:pStyle w:val="FootnoteText"/>
        <w:rPr>
          <w:rFonts w:ascii="Book Antiqua" w:hAnsi="Book Antiqua"/>
        </w:rPr>
      </w:pPr>
      <w:r w:rsidRPr="00DB5911">
        <w:rPr>
          <w:rStyle w:val="FootnoteReference"/>
          <w:rFonts w:ascii="Book Antiqua" w:hAnsi="Book Antiqua"/>
        </w:rPr>
        <w:footnoteRef/>
      </w:r>
      <w:r w:rsidRPr="00DB5911">
        <w:rPr>
          <w:rFonts w:ascii="Book Antiqua" w:hAnsi="Book Antiqua"/>
        </w:rPr>
        <w:t xml:space="preserve"> B-08 p. 7 St Anne’s Church Conservation Area Character Appraisal and Management Guidelines</w:t>
      </w:r>
    </w:p>
  </w:footnote>
  <w:footnote w:id="34">
    <w:p w14:paraId="474A55CE" w14:textId="77777777" w:rsidR="006A74F8" w:rsidRPr="00DB5911" w:rsidRDefault="006A74F8" w:rsidP="009B0327">
      <w:pPr>
        <w:pStyle w:val="FootnoteText"/>
        <w:rPr>
          <w:rFonts w:ascii="Book Antiqua" w:hAnsi="Book Antiqua"/>
        </w:rPr>
      </w:pPr>
      <w:r w:rsidRPr="00DB5911">
        <w:rPr>
          <w:rStyle w:val="FootnoteReference"/>
          <w:rFonts w:ascii="Book Antiqua" w:hAnsi="Book Antiqua"/>
        </w:rPr>
        <w:footnoteRef/>
      </w:r>
      <w:r w:rsidRPr="00DB5911">
        <w:rPr>
          <w:rFonts w:ascii="Book Antiqua" w:hAnsi="Book Antiqua"/>
        </w:rPr>
        <w:t xml:space="preserve"> A 21, 2.40</w:t>
      </w:r>
    </w:p>
  </w:footnote>
  <w:footnote w:id="35">
    <w:p w14:paraId="3A8509E5" w14:textId="20CC8CD7" w:rsidR="006A74F8" w:rsidRPr="00DB5911" w:rsidRDefault="006A74F8" w:rsidP="009B0327">
      <w:pPr>
        <w:pStyle w:val="FootnoteText"/>
        <w:rPr>
          <w:rFonts w:ascii="Book Antiqua" w:hAnsi="Book Antiqua"/>
        </w:rPr>
      </w:pPr>
      <w:r w:rsidRPr="00DB5911">
        <w:rPr>
          <w:rStyle w:val="FootnoteReference"/>
          <w:rFonts w:ascii="Book Antiqua" w:hAnsi="Book Antiqua"/>
        </w:rPr>
        <w:footnoteRef/>
      </w:r>
      <w:r w:rsidRPr="00DB5911">
        <w:rPr>
          <w:rFonts w:ascii="Book Antiqua" w:hAnsi="Book Antiqua"/>
        </w:rPr>
        <w:t xml:space="preserve"> </w:t>
      </w:r>
      <w:r w:rsidR="00D93622" w:rsidRPr="00DB5911">
        <w:rPr>
          <w:rFonts w:ascii="Book Antiqua" w:hAnsi="Book Antiqua"/>
        </w:rPr>
        <w:t xml:space="preserve">I-01 </w:t>
      </w:r>
      <w:r w:rsidRPr="00DB5911">
        <w:rPr>
          <w:rFonts w:ascii="Book Antiqua" w:hAnsi="Book Antiqua"/>
        </w:rPr>
        <w:t>Twentieth Century Society; Georgian Group; Ancient Monuments Society</w:t>
      </w:r>
    </w:p>
  </w:footnote>
  <w:footnote w:id="36">
    <w:p w14:paraId="480BCBC7" w14:textId="77777777" w:rsidR="006A74F8" w:rsidRPr="006A74F8" w:rsidRDefault="006A74F8" w:rsidP="00B10893">
      <w:pPr>
        <w:pStyle w:val="FootnoteText"/>
        <w:rPr>
          <w:rFonts w:ascii="Book Antiqua" w:hAnsi="Book Antiqua"/>
        </w:rPr>
      </w:pPr>
      <w:r w:rsidRPr="00DB5911">
        <w:rPr>
          <w:rStyle w:val="FootnoteReference"/>
          <w:rFonts w:ascii="Book Antiqua" w:hAnsi="Book Antiqua"/>
        </w:rPr>
        <w:footnoteRef/>
      </w:r>
      <w:r w:rsidRPr="00DB5911">
        <w:rPr>
          <w:rFonts w:ascii="Book Antiqua" w:hAnsi="Book Antiqua"/>
        </w:rPr>
        <w:t xml:space="preserve"> A21 Heritage Appraisal 4.15</w:t>
      </w:r>
    </w:p>
  </w:footnote>
  <w:footnote w:id="37">
    <w:p w14:paraId="50077C62" w14:textId="77777777" w:rsidR="00D93622" w:rsidRPr="006A74F8" w:rsidRDefault="00D93622" w:rsidP="00D93622">
      <w:pPr>
        <w:pStyle w:val="FootnoteText"/>
        <w:rPr>
          <w:rFonts w:ascii="Book Antiqua" w:hAnsi="Book Antiqua"/>
        </w:rPr>
      </w:pPr>
      <w:r w:rsidRPr="006A74F8">
        <w:rPr>
          <w:rStyle w:val="FootnoteReference"/>
          <w:rFonts w:ascii="Book Antiqua" w:hAnsi="Book Antiqua"/>
        </w:rPr>
        <w:footnoteRef/>
      </w:r>
      <w:r w:rsidRPr="006A74F8">
        <w:rPr>
          <w:rFonts w:ascii="Book Antiqua" w:hAnsi="Book Antiqua"/>
        </w:rPr>
        <w:t xml:space="preserve"> Greater London Archaeology Advice Service Note (4 December 2020)</w:t>
      </w:r>
    </w:p>
  </w:footnote>
  <w:footnote w:id="38">
    <w:p w14:paraId="64BF1E59" w14:textId="485D9391" w:rsidR="006A74F8" w:rsidRPr="006A74F8" w:rsidRDefault="006A74F8">
      <w:pPr>
        <w:pStyle w:val="FootnoteText"/>
        <w:rPr>
          <w:rFonts w:ascii="Book Antiqua" w:hAnsi="Book Antiqua"/>
        </w:rPr>
      </w:pPr>
      <w:r w:rsidRPr="006A74F8">
        <w:rPr>
          <w:rStyle w:val="FootnoteReference"/>
          <w:rFonts w:ascii="Book Antiqua" w:hAnsi="Book Antiqua"/>
        </w:rPr>
        <w:footnoteRef/>
      </w:r>
      <w:r w:rsidRPr="006A74F8">
        <w:rPr>
          <w:rFonts w:ascii="Book Antiqua" w:hAnsi="Book Antiqua"/>
        </w:rPr>
        <w:t xml:space="preserve"> Building Research Establishment ‘Site Layout Planning for Daylight and Sunlight’ BR209 Guidance</w:t>
      </w:r>
    </w:p>
  </w:footnote>
  <w:footnote w:id="39">
    <w:p w14:paraId="5181C151" w14:textId="0C13BD4A" w:rsidR="006A74F8" w:rsidRPr="006A74F8" w:rsidRDefault="006A74F8">
      <w:pPr>
        <w:pStyle w:val="FootnoteText"/>
        <w:rPr>
          <w:rFonts w:ascii="Book Antiqua" w:hAnsi="Book Antiqua"/>
        </w:rPr>
      </w:pPr>
      <w:r w:rsidRPr="006A74F8">
        <w:rPr>
          <w:rStyle w:val="FootnoteReference"/>
          <w:rFonts w:ascii="Book Antiqua" w:hAnsi="Book Antiqua"/>
        </w:rPr>
        <w:footnoteRef/>
      </w:r>
      <w:r w:rsidRPr="006A74F8">
        <w:rPr>
          <w:rFonts w:ascii="Book Antiqua" w:hAnsi="Book Antiqua"/>
        </w:rPr>
        <w:t xml:space="preserve"> B-02 p.62</w:t>
      </w:r>
    </w:p>
  </w:footnote>
  <w:footnote w:id="40">
    <w:p w14:paraId="10EB634C" w14:textId="77777777" w:rsidR="006A74F8" w:rsidRPr="006A74F8" w:rsidRDefault="006A74F8" w:rsidP="006A74F8">
      <w:pPr>
        <w:pStyle w:val="FootnoteText"/>
        <w:rPr>
          <w:rFonts w:ascii="Book Antiqua" w:hAnsi="Book Antiqua"/>
        </w:rPr>
      </w:pPr>
      <w:r w:rsidRPr="006A74F8">
        <w:rPr>
          <w:rStyle w:val="FootnoteReference"/>
          <w:rFonts w:ascii="Book Antiqua" w:hAnsi="Book Antiqua"/>
        </w:rPr>
        <w:footnoteRef/>
      </w:r>
      <w:r w:rsidRPr="006A74F8">
        <w:rPr>
          <w:rFonts w:ascii="Book Antiqua" w:hAnsi="Book Antiqua"/>
        </w:rPr>
        <w:t xml:space="preserve"> see </w:t>
      </w:r>
      <w:r w:rsidRPr="006A74F8">
        <w:rPr>
          <w:rFonts w:ascii="Book Antiqua" w:hAnsi="Book Antiqua"/>
          <w:i/>
        </w:rPr>
        <w:t xml:space="preserve">East Northamptonshire DC &amp; Barnwell Manor Wind Energy v SSCLG </w:t>
      </w:r>
      <w:r w:rsidRPr="006A74F8">
        <w:rPr>
          <w:rFonts w:ascii="Book Antiqua" w:hAnsi="Book Antiqua"/>
        </w:rPr>
        <w:t>[2014] EWCA Civ 137 at [26]-[29]</w:t>
      </w:r>
    </w:p>
  </w:footnote>
  <w:footnote w:id="41">
    <w:p w14:paraId="42EC0618" w14:textId="77777777" w:rsidR="005677CA" w:rsidRPr="006A74F8" w:rsidRDefault="005677CA" w:rsidP="005677CA">
      <w:pPr>
        <w:pStyle w:val="FootnoteText"/>
        <w:rPr>
          <w:rFonts w:ascii="Book Antiqua" w:hAnsi="Book Antiqua"/>
        </w:rPr>
      </w:pPr>
      <w:r w:rsidRPr="006A74F8">
        <w:rPr>
          <w:rStyle w:val="FootnoteReference"/>
          <w:rFonts w:ascii="Book Antiqua" w:hAnsi="Book Antiqua"/>
        </w:rPr>
        <w:footnoteRef/>
      </w:r>
      <w:r w:rsidRPr="006A74F8">
        <w:rPr>
          <w:rFonts w:ascii="Book Antiqua" w:hAnsi="Book Antiqua"/>
        </w:rPr>
        <w:t xml:space="preserve"> </w:t>
      </w:r>
      <w:r w:rsidRPr="006A74F8">
        <w:rPr>
          <w:rFonts w:ascii="Book Antiqua" w:hAnsi="Book Antiqua"/>
          <w:i/>
        </w:rPr>
        <w:t xml:space="preserve">Forge Field </w:t>
      </w:r>
      <w:r w:rsidRPr="006A74F8">
        <w:rPr>
          <w:rFonts w:ascii="Book Antiqua" w:hAnsi="Book Antiqua"/>
        </w:rPr>
        <w:t>at [43] and [45] [2014] EWHC 1895 (Admin)</w:t>
      </w:r>
    </w:p>
  </w:footnote>
  <w:footnote w:id="42">
    <w:p w14:paraId="24327BAD" w14:textId="65126DD4" w:rsidR="006A74F8" w:rsidRPr="006A74F8" w:rsidRDefault="006A74F8">
      <w:pPr>
        <w:pStyle w:val="FootnoteText"/>
        <w:rPr>
          <w:rFonts w:ascii="Book Antiqua" w:hAnsi="Book Antiqua"/>
        </w:rPr>
      </w:pPr>
      <w:r w:rsidRPr="006A74F8">
        <w:rPr>
          <w:rStyle w:val="FootnoteReference"/>
          <w:rFonts w:ascii="Book Antiqua" w:hAnsi="Book Antiqua"/>
        </w:rPr>
        <w:footnoteRef/>
      </w:r>
      <w:r w:rsidRPr="006A74F8">
        <w:rPr>
          <w:rFonts w:ascii="Book Antiqua" w:hAnsi="Book Antiqua"/>
        </w:rPr>
        <w:t xml:space="preserve"> H-01, paras. 10.4-10.9, 10.18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C388002"/>
    <w:multiLevelType w:val="hybridMultilevel"/>
    <w:tmpl w:val="CAC83F1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EC0E1C"/>
    <w:multiLevelType w:val="hybridMultilevel"/>
    <w:tmpl w:val="0DD885D6"/>
    <w:lvl w:ilvl="0" w:tplc="E07805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752BD"/>
    <w:multiLevelType w:val="hybridMultilevel"/>
    <w:tmpl w:val="073A98E6"/>
    <w:lvl w:ilvl="0" w:tplc="C3DC41E6">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4B3EE1AA">
      <w:start w:val="12"/>
      <w:numFmt w:val="bullet"/>
      <w:lvlText w:val="-"/>
      <w:lvlJc w:val="left"/>
      <w:pPr>
        <w:ind w:left="3240" w:hanging="360"/>
      </w:pPr>
      <w:rPr>
        <w:rFonts w:ascii="Book Antiqua" w:eastAsiaTheme="minorHAnsi" w:hAnsi="Book Antiqua" w:cstheme="minorBid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6442AE"/>
    <w:multiLevelType w:val="hybridMultilevel"/>
    <w:tmpl w:val="35E4CB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D4FFC"/>
    <w:multiLevelType w:val="hybridMultilevel"/>
    <w:tmpl w:val="44FA864E"/>
    <w:lvl w:ilvl="0" w:tplc="2482FA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B44A05"/>
    <w:multiLevelType w:val="hybridMultilevel"/>
    <w:tmpl w:val="AA1EEC56"/>
    <w:lvl w:ilvl="0" w:tplc="5BC4E6AE">
      <w:start w:val="1"/>
      <w:numFmt w:val="lowerLetter"/>
      <w:lvlText w:val="%1."/>
      <w:lvlJc w:val="left"/>
      <w:pPr>
        <w:ind w:left="1080" w:hanging="360"/>
      </w:pPr>
      <w:rPr>
        <w:rFonts w:ascii="Book Antiqua" w:hAnsi="Book Antiqu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011400"/>
    <w:multiLevelType w:val="hybridMultilevel"/>
    <w:tmpl w:val="0F66176A"/>
    <w:lvl w:ilvl="0" w:tplc="9D682D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748AA"/>
    <w:multiLevelType w:val="hybridMultilevel"/>
    <w:tmpl w:val="0F66176A"/>
    <w:lvl w:ilvl="0" w:tplc="9D682D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3C36FC"/>
    <w:multiLevelType w:val="hybridMultilevel"/>
    <w:tmpl w:val="0F66176A"/>
    <w:lvl w:ilvl="0" w:tplc="9D682D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F5936"/>
    <w:multiLevelType w:val="hybridMultilevel"/>
    <w:tmpl w:val="689EF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641A64"/>
    <w:multiLevelType w:val="hybridMultilevel"/>
    <w:tmpl w:val="072A16D6"/>
    <w:lvl w:ilvl="0" w:tplc="261EA22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8AD7B77"/>
    <w:multiLevelType w:val="hybridMultilevel"/>
    <w:tmpl w:val="182A715C"/>
    <w:lvl w:ilvl="0" w:tplc="83D4F8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F813A0"/>
    <w:multiLevelType w:val="hybridMultilevel"/>
    <w:tmpl w:val="689EF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A1899"/>
    <w:multiLevelType w:val="hybridMultilevel"/>
    <w:tmpl w:val="DA7E9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9E0A02"/>
    <w:multiLevelType w:val="hybridMultilevel"/>
    <w:tmpl w:val="0F66176A"/>
    <w:lvl w:ilvl="0" w:tplc="9D682D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B65CC1"/>
    <w:multiLevelType w:val="hybridMultilevel"/>
    <w:tmpl w:val="F5B6CAF8"/>
    <w:lvl w:ilvl="0" w:tplc="147ACE7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E96496"/>
    <w:multiLevelType w:val="hybridMultilevel"/>
    <w:tmpl w:val="52E80D52"/>
    <w:lvl w:ilvl="0" w:tplc="307A1F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6D5224"/>
    <w:multiLevelType w:val="hybridMultilevel"/>
    <w:tmpl w:val="B7803AA6"/>
    <w:lvl w:ilvl="0" w:tplc="0F022E96">
      <w:start w:val="1"/>
      <w:numFmt w:val="lowerLetter"/>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8" w15:restartNumberingAfterBreak="0">
    <w:nsid w:val="5AA66C64"/>
    <w:multiLevelType w:val="hybridMultilevel"/>
    <w:tmpl w:val="E56862A2"/>
    <w:lvl w:ilvl="0" w:tplc="2D72F05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BB40B4"/>
    <w:multiLevelType w:val="hybridMultilevel"/>
    <w:tmpl w:val="97506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EE5255"/>
    <w:multiLevelType w:val="hybridMultilevel"/>
    <w:tmpl w:val="375637FA"/>
    <w:lvl w:ilvl="0" w:tplc="805CC9B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545499"/>
    <w:multiLevelType w:val="hybridMultilevel"/>
    <w:tmpl w:val="F886AD6A"/>
    <w:lvl w:ilvl="0" w:tplc="805CC9B8">
      <w:start w:val="2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1B16F9"/>
    <w:multiLevelType w:val="hybridMultilevel"/>
    <w:tmpl w:val="0F66176A"/>
    <w:lvl w:ilvl="0" w:tplc="9D682D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12"/>
  </w:num>
  <w:num w:numId="4">
    <w:abstractNumId w:val="20"/>
  </w:num>
  <w:num w:numId="5">
    <w:abstractNumId w:val="22"/>
  </w:num>
  <w:num w:numId="6">
    <w:abstractNumId w:val="1"/>
  </w:num>
  <w:num w:numId="7">
    <w:abstractNumId w:val="13"/>
  </w:num>
  <w:num w:numId="8">
    <w:abstractNumId w:val="11"/>
  </w:num>
  <w:num w:numId="9">
    <w:abstractNumId w:val="6"/>
  </w:num>
  <w:num w:numId="10">
    <w:abstractNumId w:val="3"/>
  </w:num>
  <w:num w:numId="11">
    <w:abstractNumId w:val="2"/>
  </w:num>
  <w:num w:numId="12">
    <w:abstractNumId w:val="21"/>
  </w:num>
  <w:num w:numId="13">
    <w:abstractNumId w:val="5"/>
  </w:num>
  <w:num w:numId="14">
    <w:abstractNumId w:val="19"/>
  </w:num>
  <w:num w:numId="15">
    <w:abstractNumId w:val="16"/>
  </w:num>
  <w:num w:numId="16">
    <w:abstractNumId w:val="4"/>
  </w:num>
  <w:num w:numId="17">
    <w:abstractNumId w:val="15"/>
  </w:num>
  <w:num w:numId="18">
    <w:abstractNumId w:val="18"/>
  </w:num>
  <w:num w:numId="19">
    <w:abstractNumId w:val="7"/>
  </w:num>
  <w:num w:numId="20">
    <w:abstractNumId w:val="10"/>
  </w:num>
  <w:num w:numId="21">
    <w:abstractNumId w:val="14"/>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1EE"/>
    <w:rsid w:val="00017AFA"/>
    <w:rsid w:val="00071F8C"/>
    <w:rsid w:val="000A5229"/>
    <w:rsid w:val="000F104C"/>
    <w:rsid w:val="000F734F"/>
    <w:rsid w:val="00126E2A"/>
    <w:rsid w:val="00137566"/>
    <w:rsid w:val="00151167"/>
    <w:rsid w:val="0015400F"/>
    <w:rsid w:val="001807BB"/>
    <w:rsid w:val="00192983"/>
    <w:rsid w:val="001C01EE"/>
    <w:rsid w:val="00221822"/>
    <w:rsid w:val="00232900"/>
    <w:rsid w:val="00281266"/>
    <w:rsid w:val="0028732B"/>
    <w:rsid w:val="002A5E03"/>
    <w:rsid w:val="002B544D"/>
    <w:rsid w:val="002B7D6A"/>
    <w:rsid w:val="002C02FB"/>
    <w:rsid w:val="002F3AB4"/>
    <w:rsid w:val="00320655"/>
    <w:rsid w:val="00370CF3"/>
    <w:rsid w:val="003E5F6E"/>
    <w:rsid w:val="003E7F8E"/>
    <w:rsid w:val="00417681"/>
    <w:rsid w:val="004402F4"/>
    <w:rsid w:val="00447CAA"/>
    <w:rsid w:val="00463EA0"/>
    <w:rsid w:val="004E4565"/>
    <w:rsid w:val="004E79FF"/>
    <w:rsid w:val="0056550F"/>
    <w:rsid w:val="005677CA"/>
    <w:rsid w:val="00573036"/>
    <w:rsid w:val="005971FC"/>
    <w:rsid w:val="005A55C7"/>
    <w:rsid w:val="005A66F0"/>
    <w:rsid w:val="006368B7"/>
    <w:rsid w:val="006A74F8"/>
    <w:rsid w:val="006B21B8"/>
    <w:rsid w:val="006D6074"/>
    <w:rsid w:val="006F6FA1"/>
    <w:rsid w:val="00780B68"/>
    <w:rsid w:val="00792FBF"/>
    <w:rsid w:val="007C03F7"/>
    <w:rsid w:val="007D7B5C"/>
    <w:rsid w:val="007E271A"/>
    <w:rsid w:val="007F275B"/>
    <w:rsid w:val="007F6199"/>
    <w:rsid w:val="00844CF7"/>
    <w:rsid w:val="008A528D"/>
    <w:rsid w:val="008B01EA"/>
    <w:rsid w:val="008C4D8C"/>
    <w:rsid w:val="008D3F13"/>
    <w:rsid w:val="008E0616"/>
    <w:rsid w:val="00900B42"/>
    <w:rsid w:val="0096465F"/>
    <w:rsid w:val="00987AA9"/>
    <w:rsid w:val="009A7690"/>
    <w:rsid w:val="009B0327"/>
    <w:rsid w:val="00A2405E"/>
    <w:rsid w:val="00A268A7"/>
    <w:rsid w:val="00A52CB7"/>
    <w:rsid w:val="00A626FC"/>
    <w:rsid w:val="00A70B31"/>
    <w:rsid w:val="00A91D05"/>
    <w:rsid w:val="00AB757B"/>
    <w:rsid w:val="00AC3622"/>
    <w:rsid w:val="00AE4457"/>
    <w:rsid w:val="00B04044"/>
    <w:rsid w:val="00B10893"/>
    <w:rsid w:val="00B10B38"/>
    <w:rsid w:val="00B17F54"/>
    <w:rsid w:val="00B41385"/>
    <w:rsid w:val="00B505DD"/>
    <w:rsid w:val="00B5317E"/>
    <w:rsid w:val="00B94225"/>
    <w:rsid w:val="00BB0773"/>
    <w:rsid w:val="00BD7727"/>
    <w:rsid w:val="00C00E38"/>
    <w:rsid w:val="00C21E4A"/>
    <w:rsid w:val="00C50931"/>
    <w:rsid w:val="00C72883"/>
    <w:rsid w:val="00C81386"/>
    <w:rsid w:val="00CA6935"/>
    <w:rsid w:val="00CA7B35"/>
    <w:rsid w:val="00D128B9"/>
    <w:rsid w:val="00D67C0F"/>
    <w:rsid w:val="00D93622"/>
    <w:rsid w:val="00DB5911"/>
    <w:rsid w:val="00DD28C8"/>
    <w:rsid w:val="00DF0F40"/>
    <w:rsid w:val="00E416D3"/>
    <w:rsid w:val="00E61721"/>
    <w:rsid w:val="00E80E3B"/>
    <w:rsid w:val="00F1632B"/>
    <w:rsid w:val="00F87EB0"/>
    <w:rsid w:val="00FC64E7"/>
    <w:rsid w:val="00FE3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1AC7C"/>
  <w15:chartTrackingRefBased/>
  <w15:docId w15:val="{6EAAA16E-842F-624A-8DBD-1026B26F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1EE"/>
    <w:pPr>
      <w:ind w:left="720"/>
      <w:contextualSpacing/>
    </w:pPr>
  </w:style>
  <w:style w:type="table" w:styleId="TableGrid">
    <w:name w:val="Table Grid"/>
    <w:basedOn w:val="TableNormal"/>
    <w:uiPriority w:val="39"/>
    <w:rsid w:val="00C21E4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A5229"/>
    <w:rPr>
      <w:sz w:val="20"/>
      <w:szCs w:val="20"/>
    </w:rPr>
  </w:style>
  <w:style w:type="character" w:customStyle="1" w:styleId="FootnoteTextChar">
    <w:name w:val="Footnote Text Char"/>
    <w:basedOn w:val="DefaultParagraphFont"/>
    <w:link w:val="FootnoteText"/>
    <w:uiPriority w:val="99"/>
    <w:rsid w:val="000A5229"/>
    <w:rPr>
      <w:sz w:val="20"/>
      <w:szCs w:val="20"/>
    </w:rPr>
  </w:style>
  <w:style w:type="character" w:styleId="FootnoteReference">
    <w:name w:val="footnote reference"/>
    <w:basedOn w:val="DefaultParagraphFont"/>
    <w:uiPriority w:val="99"/>
    <w:semiHidden/>
    <w:unhideWhenUsed/>
    <w:rsid w:val="000A5229"/>
    <w:rPr>
      <w:vertAlign w:val="superscript"/>
    </w:rPr>
  </w:style>
  <w:style w:type="paragraph" w:styleId="Footer">
    <w:name w:val="footer"/>
    <w:basedOn w:val="Normal"/>
    <w:link w:val="FooterChar"/>
    <w:uiPriority w:val="99"/>
    <w:unhideWhenUsed/>
    <w:rsid w:val="00232900"/>
    <w:pPr>
      <w:tabs>
        <w:tab w:val="center" w:pos="4680"/>
        <w:tab w:val="right" w:pos="9360"/>
      </w:tabs>
    </w:pPr>
  </w:style>
  <w:style w:type="character" w:customStyle="1" w:styleId="FooterChar">
    <w:name w:val="Footer Char"/>
    <w:basedOn w:val="DefaultParagraphFont"/>
    <w:link w:val="Footer"/>
    <w:uiPriority w:val="99"/>
    <w:rsid w:val="00232900"/>
  </w:style>
  <w:style w:type="character" w:styleId="PageNumber">
    <w:name w:val="page number"/>
    <w:basedOn w:val="DefaultParagraphFont"/>
    <w:uiPriority w:val="99"/>
    <w:semiHidden/>
    <w:unhideWhenUsed/>
    <w:rsid w:val="00232900"/>
  </w:style>
  <w:style w:type="character" w:styleId="CommentReference">
    <w:name w:val="annotation reference"/>
    <w:basedOn w:val="DefaultParagraphFont"/>
    <w:uiPriority w:val="99"/>
    <w:semiHidden/>
    <w:unhideWhenUsed/>
    <w:rsid w:val="009B0327"/>
    <w:rPr>
      <w:sz w:val="16"/>
      <w:szCs w:val="16"/>
    </w:rPr>
  </w:style>
  <w:style w:type="paragraph" w:styleId="CommentText">
    <w:name w:val="annotation text"/>
    <w:basedOn w:val="Normal"/>
    <w:link w:val="CommentTextChar"/>
    <w:uiPriority w:val="99"/>
    <w:semiHidden/>
    <w:unhideWhenUsed/>
    <w:rsid w:val="009B0327"/>
    <w:rPr>
      <w:sz w:val="20"/>
      <w:szCs w:val="20"/>
    </w:rPr>
  </w:style>
  <w:style w:type="character" w:customStyle="1" w:styleId="CommentTextChar">
    <w:name w:val="Comment Text Char"/>
    <w:basedOn w:val="DefaultParagraphFont"/>
    <w:link w:val="CommentText"/>
    <w:uiPriority w:val="99"/>
    <w:semiHidden/>
    <w:rsid w:val="009B0327"/>
    <w:rPr>
      <w:sz w:val="20"/>
      <w:szCs w:val="20"/>
    </w:rPr>
  </w:style>
  <w:style w:type="paragraph" w:styleId="CommentSubject">
    <w:name w:val="annotation subject"/>
    <w:basedOn w:val="CommentText"/>
    <w:next w:val="CommentText"/>
    <w:link w:val="CommentSubjectChar"/>
    <w:uiPriority w:val="99"/>
    <w:semiHidden/>
    <w:unhideWhenUsed/>
    <w:rsid w:val="009B0327"/>
    <w:rPr>
      <w:b/>
      <w:bCs/>
    </w:rPr>
  </w:style>
  <w:style w:type="character" w:customStyle="1" w:styleId="CommentSubjectChar">
    <w:name w:val="Comment Subject Char"/>
    <w:basedOn w:val="CommentTextChar"/>
    <w:link w:val="CommentSubject"/>
    <w:uiPriority w:val="99"/>
    <w:semiHidden/>
    <w:rsid w:val="009B0327"/>
    <w:rPr>
      <w:b/>
      <w:bCs/>
      <w:sz w:val="20"/>
      <w:szCs w:val="20"/>
    </w:rPr>
  </w:style>
  <w:style w:type="paragraph" w:styleId="BalloonText">
    <w:name w:val="Balloon Text"/>
    <w:basedOn w:val="Normal"/>
    <w:link w:val="BalloonTextChar"/>
    <w:uiPriority w:val="99"/>
    <w:semiHidden/>
    <w:unhideWhenUsed/>
    <w:rsid w:val="009B03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0327"/>
    <w:rPr>
      <w:rFonts w:ascii="Times New Roman" w:hAnsi="Times New Roman" w:cs="Times New Roman"/>
      <w:sz w:val="18"/>
      <w:szCs w:val="18"/>
    </w:rPr>
  </w:style>
  <w:style w:type="paragraph" w:customStyle="1" w:styleId="Default">
    <w:name w:val="Default"/>
    <w:rsid w:val="00D93622"/>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09C2E-C42C-4272-A831-996DE855E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2600</Words>
  <Characters>14821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Sackman</dc:creator>
  <cp:keywords/>
  <dc:description/>
  <cp:lastModifiedBy>pati-svc</cp:lastModifiedBy>
  <cp:revision>2</cp:revision>
  <cp:lastPrinted>2021-01-11T21:16:00Z</cp:lastPrinted>
  <dcterms:created xsi:type="dcterms:W3CDTF">2021-01-12T10:40:00Z</dcterms:created>
  <dcterms:modified xsi:type="dcterms:W3CDTF">2021-01-12T10:40:00Z</dcterms:modified>
</cp:coreProperties>
</file>