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DB" w:rsidRDefault="007110DB" w:rsidP="007110DB">
      <w:pPr>
        <w:spacing w:after="0" w:line="240" w:lineRule="auto"/>
        <w:rPr>
          <w:rFonts w:ascii="Arial" w:hAnsi="Arial" w:cs="Arial"/>
          <w:sz w:val="24"/>
          <w:szCs w:val="24"/>
        </w:rPr>
      </w:pPr>
      <w:bookmarkStart w:id="0" w:name="_GoBack"/>
      <w:bookmarkEnd w:id="0"/>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701B7E" w:rsidRPr="00701B7E" w:rsidTr="00701B7E">
        <w:trPr>
          <w:trHeight w:val="103"/>
        </w:trPr>
        <w:tc>
          <w:tcPr>
            <w:tcW w:w="9606" w:type="dxa"/>
          </w:tcPr>
          <w:p w:rsidR="00701B7E" w:rsidRPr="00701B7E" w:rsidRDefault="009B746E" w:rsidP="00701B7E">
            <w:pPr>
              <w:autoSpaceDE w:val="0"/>
              <w:autoSpaceDN w:val="0"/>
              <w:adjustRightInd w:val="0"/>
              <w:spacing w:after="0" w:line="240" w:lineRule="auto"/>
              <w:jc w:val="center"/>
              <w:rPr>
                <w:rFonts w:ascii="Arial" w:hAnsi="Arial" w:cs="Arial"/>
                <w:color w:val="000000"/>
                <w:sz w:val="32"/>
                <w:szCs w:val="32"/>
              </w:rPr>
            </w:pPr>
            <w:r w:rsidRPr="00701B7E">
              <w:rPr>
                <w:rFonts w:ascii="Arial" w:eastAsia="Calibri" w:hAnsi="Arial" w:cs="Arial"/>
                <w:sz w:val="32"/>
                <w:szCs w:val="32"/>
              </w:rPr>
              <w:t xml:space="preserve">Planning Inspectorate Ref: </w:t>
            </w:r>
            <w:r w:rsidR="00701B7E" w:rsidRPr="00701B7E">
              <w:rPr>
                <w:rFonts w:ascii="Arial" w:hAnsi="Arial" w:cs="Arial"/>
                <w:color w:val="000000"/>
                <w:sz w:val="32"/>
                <w:szCs w:val="32"/>
              </w:rPr>
              <w:t>APP/E5900/W/20/3250665</w:t>
            </w:r>
          </w:p>
        </w:tc>
      </w:tr>
    </w:tbl>
    <w:p w:rsidR="00701B7E" w:rsidRPr="00701B7E" w:rsidRDefault="00701B7E" w:rsidP="00701B7E">
      <w:pPr>
        <w:autoSpaceDE w:val="0"/>
        <w:autoSpaceDN w:val="0"/>
        <w:adjustRightInd w:val="0"/>
        <w:spacing w:after="0" w:line="240" w:lineRule="auto"/>
        <w:jc w:val="center"/>
        <w:rPr>
          <w:rFonts w:ascii="Arial" w:hAnsi="Arial" w:cs="Arial"/>
          <w:color w:val="000000"/>
          <w:sz w:val="24"/>
          <w:szCs w:val="24"/>
        </w:rPr>
      </w:pPr>
    </w:p>
    <w:tbl>
      <w:tblPr>
        <w:tblW w:w="9464" w:type="dxa"/>
        <w:jc w:val="center"/>
        <w:tblBorders>
          <w:top w:val="nil"/>
          <w:left w:val="nil"/>
          <w:bottom w:val="nil"/>
          <w:right w:val="nil"/>
        </w:tblBorders>
        <w:tblLayout w:type="fixed"/>
        <w:tblLook w:val="0000" w:firstRow="0" w:lastRow="0" w:firstColumn="0" w:lastColumn="0" w:noHBand="0" w:noVBand="0"/>
      </w:tblPr>
      <w:tblGrid>
        <w:gridCol w:w="9464"/>
      </w:tblGrid>
      <w:tr w:rsidR="00701B7E" w:rsidRPr="00701B7E" w:rsidTr="00701B7E">
        <w:trPr>
          <w:trHeight w:val="103"/>
          <w:jc w:val="center"/>
        </w:trPr>
        <w:tc>
          <w:tcPr>
            <w:tcW w:w="9464" w:type="dxa"/>
          </w:tcPr>
          <w:p w:rsidR="00701B7E" w:rsidRPr="00701B7E" w:rsidRDefault="00701B7E" w:rsidP="00701B7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LPA Reference:</w:t>
            </w:r>
            <w:r w:rsidRPr="00701B7E">
              <w:rPr>
                <w:rFonts w:ascii="Arial" w:hAnsi="Arial" w:cs="Arial"/>
                <w:color w:val="000000"/>
                <w:sz w:val="24"/>
                <w:szCs w:val="24"/>
              </w:rPr>
              <w:t xml:space="preserve"> PA/19/00804</w:t>
            </w:r>
          </w:p>
        </w:tc>
      </w:tr>
    </w:tbl>
    <w:p w:rsidR="009B746E" w:rsidRPr="00EB7DB1" w:rsidRDefault="009B746E" w:rsidP="00701B7E">
      <w:pPr>
        <w:spacing w:line="360" w:lineRule="auto"/>
        <w:jc w:val="center"/>
        <w:rPr>
          <w:rFonts w:ascii="Arial" w:eastAsia="Calibri" w:hAnsi="Arial" w:cs="Arial"/>
          <w:sz w:val="28"/>
          <w:szCs w:val="28"/>
        </w:rPr>
      </w:pPr>
    </w:p>
    <w:p w:rsidR="00AA4E67" w:rsidRDefault="00AA4E67" w:rsidP="00AA4E67">
      <w:pPr>
        <w:spacing w:after="0" w:line="240" w:lineRule="auto"/>
        <w:jc w:val="center"/>
        <w:rPr>
          <w:rFonts w:ascii="Arial" w:hAnsi="Arial" w:cs="Arial"/>
          <w:b/>
          <w:sz w:val="28"/>
          <w:szCs w:val="28"/>
        </w:rPr>
      </w:pPr>
    </w:p>
    <w:p w:rsidR="009B746E" w:rsidRPr="00F7431E" w:rsidRDefault="009B746E" w:rsidP="009B746E">
      <w:pPr>
        <w:jc w:val="center"/>
        <w:rPr>
          <w:rFonts w:ascii="Arial" w:hAnsi="Arial" w:cs="Arial"/>
          <w:b/>
          <w:sz w:val="40"/>
          <w:szCs w:val="40"/>
        </w:rPr>
      </w:pPr>
      <w:r w:rsidRPr="00F7431E">
        <w:rPr>
          <w:rFonts w:ascii="Arial" w:hAnsi="Arial" w:cs="Arial"/>
          <w:b/>
          <w:sz w:val="40"/>
          <w:szCs w:val="40"/>
        </w:rPr>
        <w:t>TOWN AND COUNTRY PLANNING ACT 1990</w:t>
      </w:r>
    </w:p>
    <w:p w:rsidR="009B746E" w:rsidRPr="00F7431E" w:rsidRDefault="009B746E" w:rsidP="009B746E">
      <w:pPr>
        <w:jc w:val="center"/>
        <w:rPr>
          <w:rFonts w:ascii="Arial" w:hAnsi="Arial" w:cs="Arial"/>
          <w:b/>
          <w:sz w:val="40"/>
          <w:szCs w:val="40"/>
        </w:rPr>
      </w:pPr>
      <w:r w:rsidRPr="00F7431E">
        <w:rPr>
          <w:rFonts w:ascii="Arial" w:hAnsi="Arial" w:cs="Arial"/>
          <w:b/>
          <w:sz w:val="40"/>
          <w:szCs w:val="40"/>
        </w:rPr>
        <w:t>(AS AMENDED)</w:t>
      </w:r>
    </w:p>
    <w:p w:rsidR="009B746E" w:rsidRDefault="009B746E" w:rsidP="009B746E"/>
    <w:p w:rsidR="009B746E" w:rsidRPr="00F7431E" w:rsidRDefault="009B746E" w:rsidP="009B746E">
      <w:pPr>
        <w:jc w:val="center"/>
        <w:rPr>
          <w:rFonts w:ascii="Arial" w:hAnsi="Arial" w:cs="Arial"/>
          <w:b/>
          <w:sz w:val="40"/>
          <w:szCs w:val="40"/>
        </w:rPr>
      </w:pPr>
      <w:r w:rsidRPr="00F7431E">
        <w:rPr>
          <w:rFonts w:ascii="Arial" w:hAnsi="Arial" w:cs="Arial"/>
          <w:b/>
          <w:sz w:val="40"/>
          <w:szCs w:val="40"/>
        </w:rPr>
        <w:t>Appeal</w:t>
      </w:r>
    </w:p>
    <w:p w:rsidR="007110DB" w:rsidRDefault="007110DB" w:rsidP="00EB7DB1">
      <w:pPr>
        <w:spacing w:after="0" w:line="240" w:lineRule="auto"/>
        <w:jc w:val="center"/>
        <w:rPr>
          <w:rFonts w:ascii="Arial" w:hAnsi="Arial" w:cs="Arial"/>
          <w:b/>
          <w:sz w:val="32"/>
          <w:szCs w:val="32"/>
        </w:rPr>
      </w:pPr>
    </w:p>
    <w:p w:rsidR="00701B7E" w:rsidRPr="00701B7E" w:rsidRDefault="00701B7E" w:rsidP="00701B7E">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989"/>
      </w:tblGrid>
      <w:tr w:rsidR="00701B7E" w:rsidRPr="00701B7E">
        <w:trPr>
          <w:trHeight w:val="229"/>
        </w:trPr>
        <w:tc>
          <w:tcPr>
            <w:tcW w:w="5989" w:type="dxa"/>
          </w:tcPr>
          <w:p w:rsidR="00701B7E" w:rsidRPr="00701B7E" w:rsidRDefault="00701B7E" w:rsidP="00701B7E">
            <w:pPr>
              <w:autoSpaceDE w:val="0"/>
              <w:autoSpaceDN w:val="0"/>
              <w:adjustRightInd w:val="0"/>
              <w:spacing w:after="0" w:line="240" w:lineRule="auto"/>
              <w:rPr>
                <w:rFonts w:ascii="Arial" w:hAnsi="Arial" w:cs="Arial"/>
                <w:color w:val="000000"/>
              </w:rPr>
            </w:pPr>
          </w:p>
        </w:tc>
      </w:tr>
    </w:tbl>
    <w:p w:rsidR="009B746E" w:rsidRPr="00EB7DB1" w:rsidRDefault="00701B7E" w:rsidP="00EB7DB1">
      <w:pPr>
        <w:spacing w:after="0" w:line="240" w:lineRule="auto"/>
        <w:jc w:val="center"/>
        <w:rPr>
          <w:rFonts w:ascii="Arial" w:hAnsi="Arial" w:cs="Arial"/>
          <w:b/>
          <w:sz w:val="32"/>
          <w:szCs w:val="32"/>
        </w:rPr>
      </w:pPr>
      <w:r>
        <w:rPr>
          <w:rFonts w:ascii="Arial" w:eastAsia="Times New Roman" w:hAnsi="Arial" w:cs="Arial"/>
          <w:b/>
          <w:color w:val="000000"/>
          <w:sz w:val="32"/>
          <w:szCs w:val="32"/>
          <w:lang w:eastAsia="en-GB"/>
        </w:rPr>
        <w:t>DE PAUL HOUSE (PANDA HOUSE), 628-634 COMMERCIAL ROAD, LONDON, E14 7HS</w:t>
      </w:r>
    </w:p>
    <w:p w:rsidR="00FE3425" w:rsidRDefault="00FE3425" w:rsidP="00EB7DB1">
      <w:pPr>
        <w:spacing w:after="0" w:line="240" w:lineRule="auto"/>
        <w:ind w:left="2977" w:hanging="2977"/>
        <w:jc w:val="center"/>
        <w:rPr>
          <w:rFonts w:ascii="Arial" w:hAnsi="Arial" w:cs="Arial"/>
          <w:b/>
          <w:sz w:val="32"/>
          <w:szCs w:val="32"/>
        </w:rPr>
      </w:pPr>
    </w:p>
    <w:p w:rsidR="00EB7DB1" w:rsidRDefault="00EB7DB1" w:rsidP="00EB7DB1">
      <w:pPr>
        <w:spacing w:after="0" w:line="240" w:lineRule="auto"/>
        <w:ind w:left="2977" w:hanging="2977"/>
        <w:jc w:val="center"/>
        <w:rPr>
          <w:rFonts w:ascii="Arial" w:hAnsi="Arial" w:cs="Arial"/>
          <w:b/>
          <w:sz w:val="32"/>
          <w:szCs w:val="32"/>
        </w:rPr>
      </w:pPr>
    </w:p>
    <w:p w:rsidR="00EB7DB1" w:rsidRPr="00EB7DB1" w:rsidRDefault="00EB7DB1" w:rsidP="00EB7DB1">
      <w:pPr>
        <w:spacing w:after="0" w:line="240" w:lineRule="auto"/>
        <w:ind w:left="2977" w:hanging="2977"/>
        <w:jc w:val="center"/>
        <w:rPr>
          <w:rFonts w:ascii="Arial" w:hAnsi="Arial" w:cs="Arial"/>
          <w:b/>
          <w:sz w:val="32"/>
          <w:szCs w:val="32"/>
        </w:rPr>
      </w:pPr>
    </w:p>
    <w:p w:rsidR="00EB7DB1" w:rsidRDefault="00EB7DB1" w:rsidP="00EB7DB1">
      <w:pPr>
        <w:spacing w:after="0" w:line="240" w:lineRule="auto"/>
        <w:ind w:left="2977" w:hanging="2977"/>
        <w:jc w:val="center"/>
        <w:rPr>
          <w:rFonts w:ascii="Arial" w:hAnsi="Arial" w:cs="Arial"/>
          <w:b/>
          <w:sz w:val="32"/>
          <w:szCs w:val="32"/>
        </w:rPr>
      </w:pPr>
      <w:r w:rsidRPr="00EB7DB1">
        <w:rPr>
          <w:rFonts w:ascii="Arial" w:hAnsi="Arial" w:cs="Arial"/>
          <w:b/>
          <w:sz w:val="32"/>
          <w:szCs w:val="32"/>
        </w:rPr>
        <w:t>VIABILITY AND AFFORDABLE HOUSING</w:t>
      </w:r>
    </w:p>
    <w:p w:rsidR="00BE670F" w:rsidRPr="00EB7DB1" w:rsidRDefault="00BE670F" w:rsidP="00EB7DB1">
      <w:pPr>
        <w:spacing w:after="0" w:line="240" w:lineRule="auto"/>
        <w:ind w:left="2977" w:hanging="2977"/>
        <w:jc w:val="center"/>
        <w:rPr>
          <w:rFonts w:ascii="Arial" w:hAnsi="Arial" w:cs="Arial"/>
          <w:b/>
          <w:sz w:val="32"/>
          <w:szCs w:val="32"/>
        </w:rPr>
      </w:pPr>
    </w:p>
    <w:p w:rsidR="00EB7DB1" w:rsidRDefault="00554502" w:rsidP="00F44A9F">
      <w:pPr>
        <w:spacing w:after="0" w:line="240" w:lineRule="auto"/>
        <w:ind w:left="2977" w:hanging="2977"/>
        <w:jc w:val="center"/>
        <w:rPr>
          <w:rFonts w:ascii="Arial" w:hAnsi="Arial" w:cs="Arial"/>
          <w:b/>
          <w:sz w:val="24"/>
          <w:szCs w:val="24"/>
        </w:rPr>
      </w:pPr>
      <w:r>
        <w:rPr>
          <w:rFonts w:ascii="Arial" w:hAnsi="Arial" w:cs="Arial"/>
          <w:b/>
          <w:sz w:val="32"/>
          <w:szCs w:val="32"/>
        </w:rPr>
        <w:t xml:space="preserve">SUMMARY, </w:t>
      </w:r>
      <w:r w:rsidR="00F44A9F">
        <w:rPr>
          <w:rFonts w:ascii="Arial" w:hAnsi="Arial" w:cs="Arial"/>
          <w:b/>
          <w:sz w:val="32"/>
          <w:szCs w:val="32"/>
        </w:rPr>
        <w:t>UPDATE</w:t>
      </w:r>
      <w:r>
        <w:rPr>
          <w:rFonts w:ascii="Arial" w:hAnsi="Arial" w:cs="Arial"/>
          <w:b/>
          <w:sz w:val="32"/>
          <w:szCs w:val="32"/>
        </w:rPr>
        <w:t xml:space="preserve"> &amp; REBUTTAL</w:t>
      </w:r>
    </w:p>
    <w:p w:rsidR="00EB7DB1" w:rsidRDefault="00EB7DB1" w:rsidP="00E14830">
      <w:pPr>
        <w:spacing w:after="0" w:line="480" w:lineRule="auto"/>
        <w:ind w:left="2977" w:hanging="2977"/>
        <w:rPr>
          <w:rFonts w:ascii="Arial" w:hAnsi="Arial" w:cs="Arial"/>
          <w:b/>
          <w:sz w:val="24"/>
          <w:szCs w:val="24"/>
        </w:rPr>
      </w:pPr>
    </w:p>
    <w:p w:rsidR="00806742" w:rsidRDefault="00EB7DB1" w:rsidP="007110DB">
      <w:pPr>
        <w:spacing w:after="0" w:line="240" w:lineRule="auto"/>
        <w:jc w:val="center"/>
        <w:rPr>
          <w:rFonts w:ascii="Arial" w:hAnsi="Arial" w:cs="Arial"/>
          <w:sz w:val="24"/>
          <w:szCs w:val="24"/>
        </w:rPr>
      </w:pPr>
      <w:r>
        <w:rPr>
          <w:rFonts w:ascii="Arial" w:hAnsi="Arial" w:cs="Arial"/>
          <w:sz w:val="24"/>
          <w:szCs w:val="24"/>
        </w:rPr>
        <w:t>By:-</w:t>
      </w:r>
    </w:p>
    <w:p w:rsidR="00701B7E" w:rsidRDefault="00701B7E" w:rsidP="007110DB">
      <w:pPr>
        <w:spacing w:after="0" w:line="240" w:lineRule="auto"/>
        <w:jc w:val="center"/>
        <w:rPr>
          <w:rFonts w:ascii="Arial" w:hAnsi="Arial" w:cs="Arial"/>
          <w:sz w:val="24"/>
          <w:szCs w:val="24"/>
        </w:rPr>
      </w:pPr>
    </w:p>
    <w:p w:rsidR="007110DB" w:rsidRDefault="007110DB" w:rsidP="007110DB">
      <w:pPr>
        <w:spacing w:after="0" w:line="240" w:lineRule="auto"/>
        <w:jc w:val="center"/>
        <w:rPr>
          <w:rFonts w:ascii="Arial" w:hAnsi="Arial" w:cs="Arial"/>
          <w:sz w:val="24"/>
          <w:szCs w:val="24"/>
        </w:rPr>
      </w:pPr>
      <w:r>
        <w:rPr>
          <w:rFonts w:ascii="Arial" w:hAnsi="Arial" w:cs="Arial"/>
          <w:sz w:val="24"/>
          <w:szCs w:val="24"/>
        </w:rPr>
        <w:t>James R Brown BSc (Hons) M</w:t>
      </w:r>
      <w:r w:rsidR="001A642C">
        <w:rPr>
          <w:rFonts w:ascii="Arial" w:hAnsi="Arial" w:cs="Arial"/>
          <w:sz w:val="24"/>
          <w:szCs w:val="24"/>
        </w:rPr>
        <w:t>RICS</w:t>
      </w:r>
    </w:p>
    <w:p w:rsidR="0074328D" w:rsidRDefault="0074328D" w:rsidP="0074328D">
      <w:pPr>
        <w:spacing w:after="0" w:line="240" w:lineRule="auto"/>
        <w:jc w:val="center"/>
        <w:rPr>
          <w:rFonts w:ascii="Arial" w:hAnsi="Arial" w:cs="Arial"/>
          <w:sz w:val="24"/>
          <w:szCs w:val="24"/>
        </w:rPr>
      </w:pPr>
      <w:r>
        <w:rPr>
          <w:rFonts w:ascii="Arial" w:hAnsi="Arial" w:cs="Arial"/>
          <w:sz w:val="24"/>
          <w:szCs w:val="24"/>
        </w:rPr>
        <w:t>Registered Valuer.</w:t>
      </w:r>
    </w:p>
    <w:p w:rsidR="007110DB" w:rsidRDefault="007110DB" w:rsidP="007110DB">
      <w:pPr>
        <w:spacing w:after="0" w:line="240" w:lineRule="auto"/>
        <w:jc w:val="center"/>
        <w:rPr>
          <w:rFonts w:ascii="Arial" w:hAnsi="Arial" w:cs="Arial"/>
          <w:sz w:val="24"/>
          <w:szCs w:val="24"/>
        </w:rPr>
      </w:pPr>
      <w:r>
        <w:rPr>
          <w:rFonts w:ascii="Arial" w:hAnsi="Arial" w:cs="Arial"/>
          <w:sz w:val="24"/>
          <w:szCs w:val="24"/>
        </w:rPr>
        <w:t>(James R Brown &amp; Company Ltd – “JRBC” - regulated by the RICS).</w:t>
      </w:r>
    </w:p>
    <w:p w:rsidR="0022202E" w:rsidRDefault="0022202E" w:rsidP="0022202E">
      <w:pPr>
        <w:spacing w:after="0" w:line="480" w:lineRule="auto"/>
        <w:ind w:left="2880" w:hanging="2880"/>
        <w:rPr>
          <w:rFonts w:ascii="Arial" w:hAnsi="Arial" w:cs="Arial"/>
          <w:b/>
          <w:sz w:val="24"/>
          <w:szCs w:val="24"/>
        </w:rPr>
      </w:pPr>
    </w:p>
    <w:p w:rsidR="003733E0" w:rsidRPr="003733E0" w:rsidRDefault="00701B7E" w:rsidP="003733E0">
      <w:pPr>
        <w:pStyle w:val="Default"/>
        <w:jc w:val="center"/>
        <w:rPr>
          <w:rFonts w:ascii="Arial" w:hAnsi="Arial" w:cs="Arial"/>
        </w:rPr>
      </w:pPr>
      <w:r>
        <w:rPr>
          <w:rFonts w:ascii="Arial" w:hAnsi="Arial" w:cs="Arial"/>
        </w:rPr>
        <w:t>O</w:t>
      </w:r>
      <w:r w:rsidR="00185EEE">
        <w:rPr>
          <w:rFonts w:ascii="Arial" w:hAnsi="Arial" w:cs="Arial"/>
        </w:rPr>
        <w:t>n</w:t>
      </w:r>
      <w:r w:rsidR="00806742" w:rsidRPr="00806742">
        <w:rPr>
          <w:rFonts w:ascii="Arial" w:hAnsi="Arial" w:cs="Arial"/>
        </w:rPr>
        <w:t xml:space="preserve"> behalf of the Appellant</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3733E0" w:rsidRPr="003733E0" w:rsidTr="003733E0">
        <w:trPr>
          <w:trHeight w:val="103"/>
        </w:trPr>
        <w:tc>
          <w:tcPr>
            <w:tcW w:w="9322" w:type="dxa"/>
          </w:tcPr>
          <w:p w:rsidR="003733E0" w:rsidRPr="003733E0" w:rsidRDefault="003733E0" w:rsidP="003733E0">
            <w:pPr>
              <w:autoSpaceDE w:val="0"/>
              <w:autoSpaceDN w:val="0"/>
              <w:adjustRightInd w:val="0"/>
              <w:spacing w:after="0" w:line="240" w:lineRule="auto"/>
              <w:jc w:val="center"/>
              <w:rPr>
                <w:rFonts w:ascii="Arial" w:hAnsi="Arial" w:cs="Arial"/>
                <w:color w:val="000000"/>
              </w:rPr>
            </w:pPr>
            <w:r>
              <w:rPr>
                <w:rFonts w:ascii="Arial" w:hAnsi="Arial" w:cs="Arial"/>
                <w:color w:val="000000"/>
              </w:rPr>
              <w:t>(</w:t>
            </w:r>
            <w:r w:rsidRPr="003733E0">
              <w:rPr>
                <w:rFonts w:ascii="Arial" w:hAnsi="Arial" w:cs="Arial"/>
                <w:color w:val="000000"/>
              </w:rPr>
              <w:t>Rooms and Studios Management Ltd</w:t>
            </w:r>
            <w:r>
              <w:rPr>
                <w:rFonts w:ascii="Arial" w:hAnsi="Arial" w:cs="Arial"/>
                <w:color w:val="000000"/>
              </w:rPr>
              <w:t>)</w:t>
            </w:r>
          </w:p>
        </w:tc>
      </w:tr>
    </w:tbl>
    <w:p w:rsidR="00701B7E" w:rsidRPr="00806742" w:rsidRDefault="00701B7E" w:rsidP="00701B7E">
      <w:pPr>
        <w:spacing w:after="0" w:line="240" w:lineRule="auto"/>
        <w:ind w:left="1276" w:hanging="1276"/>
        <w:jc w:val="center"/>
        <w:rPr>
          <w:rFonts w:ascii="Arial" w:hAnsi="Arial" w:cs="Arial"/>
          <w:sz w:val="24"/>
          <w:szCs w:val="24"/>
        </w:rPr>
      </w:pPr>
    </w:p>
    <w:p w:rsidR="00806742" w:rsidRPr="00806742" w:rsidRDefault="00806742" w:rsidP="00806742">
      <w:pPr>
        <w:spacing w:after="0" w:line="240" w:lineRule="auto"/>
        <w:ind w:left="1276" w:hanging="1276"/>
        <w:jc w:val="center"/>
        <w:rPr>
          <w:rFonts w:ascii="Arial" w:hAnsi="Arial" w:cs="Arial"/>
          <w:sz w:val="24"/>
          <w:szCs w:val="24"/>
        </w:rPr>
      </w:pPr>
    </w:p>
    <w:p w:rsidR="00806742" w:rsidRDefault="00806742" w:rsidP="007110DB">
      <w:pPr>
        <w:pBdr>
          <w:bottom w:val="single" w:sz="6" w:space="1" w:color="auto"/>
        </w:pBdr>
        <w:spacing w:after="0" w:line="480" w:lineRule="auto"/>
        <w:ind w:left="1276" w:hanging="1276"/>
        <w:jc w:val="center"/>
        <w:rPr>
          <w:rFonts w:ascii="Arial" w:hAnsi="Arial" w:cs="Arial"/>
          <w:b/>
          <w:sz w:val="24"/>
          <w:szCs w:val="24"/>
        </w:rPr>
      </w:pPr>
    </w:p>
    <w:p w:rsidR="00FE3425" w:rsidRDefault="00FE3425" w:rsidP="007110DB">
      <w:pPr>
        <w:spacing w:after="0" w:line="480" w:lineRule="auto"/>
        <w:ind w:left="1276" w:hanging="1276"/>
        <w:jc w:val="center"/>
        <w:rPr>
          <w:rFonts w:ascii="Arial" w:hAnsi="Arial" w:cs="Arial"/>
          <w:b/>
          <w:sz w:val="24"/>
          <w:szCs w:val="24"/>
        </w:rPr>
      </w:pPr>
    </w:p>
    <w:p w:rsidR="002B2EFC" w:rsidRDefault="00D771EF" w:rsidP="00274D01">
      <w:pPr>
        <w:spacing w:after="0" w:line="480" w:lineRule="auto"/>
        <w:ind w:left="1276" w:hanging="1276"/>
        <w:jc w:val="center"/>
        <w:rPr>
          <w:rFonts w:ascii="Arial" w:hAnsi="Arial" w:cs="Arial"/>
          <w:b/>
          <w:sz w:val="24"/>
          <w:szCs w:val="24"/>
        </w:rPr>
      </w:pPr>
      <w:r>
        <w:rPr>
          <w:rFonts w:ascii="Arial" w:hAnsi="Arial" w:cs="Arial"/>
          <w:b/>
          <w:sz w:val="24"/>
          <w:szCs w:val="24"/>
        </w:rPr>
        <w:t>2</w:t>
      </w:r>
      <w:r w:rsidR="0087080B">
        <w:rPr>
          <w:rFonts w:ascii="Arial" w:hAnsi="Arial" w:cs="Arial"/>
          <w:b/>
          <w:sz w:val="24"/>
          <w:szCs w:val="24"/>
        </w:rPr>
        <w:t>3rd</w:t>
      </w:r>
      <w:r w:rsidR="00701B7E">
        <w:rPr>
          <w:rFonts w:ascii="Arial" w:hAnsi="Arial" w:cs="Arial"/>
          <w:b/>
          <w:sz w:val="24"/>
          <w:szCs w:val="24"/>
        </w:rPr>
        <w:t xml:space="preserve"> September 2020</w:t>
      </w:r>
      <w:r w:rsidR="00512666">
        <w:br w:type="page"/>
      </w:r>
      <w:r w:rsidR="002B2EFC">
        <w:rPr>
          <w:rFonts w:ascii="Arial" w:hAnsi="Arial" w:cs="Arial"/>
          <w:b/>
          <w:sz w:val="24"/>
          <w:szCs w:val="24"/>
        </w:rPr>
        <w:lastRenderedPageBreak/>
        <w:t>CONTENTS</w:t>
      </w:r>
    </w:p>
    <w:p w:rsidR="007C67EB" w:rsidRDefault="007C67EB">
      <w:pPr>
        <w:rPr>
          <w:rFonts w:ascii="Arial" w:hAnsi="Arial" w:cs="Arial"/>
          <w:b/>
          <w:sz w:val="24"/>
          <w:szCs w:val="24"/>
        </w:rPr>
      </w:pPr>
    </w:p>
    <w:p w:rsidR="00FB43C7" w:rsidRPr="00FB43CD" w:rsidRDefault="00FB43C7" w:rsidP="00BF7B1E">
      <w:pPr>
        <w:spacing w:after="0" w:line="480" w:lineRule="auto"/>
        <w:rPr>
          <w:rFonts w:ascii="Arial" w:hAnsi="Arial" w:cs="Arial"/>
          <w:b/>
          <w:sz w:val="24"/>
          <w:szCs w:val="24"/>
        </w:rPr>
      </w:pPr>
      <w:r w:rsidRPr="00FB43CD">
        <w:rPr>
          <w:rFonts w:ascii="Arial" w:hAnsi="Arial" w:cs="Arial"/>
          <w:b/>
          <w:sz w:val="24"/>
          <w:szCs w:val="24"/>
        </w:rPr>
        <w:t>1.0</w:t>
      </w:r>
      <w:r w:rsidRPr="00FB43CD">
        <w:rPr>
          <w:rFonts w:ascii="Arial" w:hAnsi="Arial" w:cs="Arial"/>
          <w:b/>
          <w:sz w:val="24"/>
          <w:szCs w:val="24"/>
        </w:rPr>
        <w:tab/>
      </w:r>
      <w:r w:rsidR="00BF7B1E" w:rsidRPr="00FB43CD">
        <w:rPr>
          <w:rFonts w:ascii="Arial" w:hAnsi="Arial" w:cs="Arial"/>
          <w:b/>
          <w:sz w:val="24"/>
          <w:szCs w:val="24"/>
        </w:rPr>
        <w:t>Professional Background</w:t>
      </w:r>
    </w:p>
    <w:p w:rsidR="00F12482" w:rsidRPr="00FB43CD" w:rsidRDefault="00F12482" w:rsidP="00BF7B1E">
      <w:pPr>
        <w:spacing w:after="0" w:line="480" w:lineRule="auto"/>
        <w:rPr>
          <w:rFonts w:ascii="Arial" w:hAnsi="Arial" w:cs="Arial"/>
          <w:b/>
          <w:sz w:val="24"/>
          <w:szCs w:val="24"/>
        </w:rPr>
      </w:pPr>
      <w:r w:rsidRPr="00FB43CD">
        <w:rPr>
          <w:rFonts w:ascii="Arial" w:hAnsi="Arial" w:cs="Arial"/>
          <w:b/>
          <w:sz w:val="24"/>
          <w:szCs w:val="24"/>
        </w:rPr>
        <w:t>2.0</w:t>
      </w:r>
      <w:r w:rsidR="00BF7B1E" w:rsidRPr="00FB43CD">
        <w:rPr>
          <w:rFonts w:ascii="Arial" w:hAnsi="Arial" w:cs="Arial"/>
          <w:b/>
          <w:sz w:val="24"/>
          <w:szCs w:val="24"/>
        </w:rPr>
        <w:tab/>
        <w:t>Viability</w:t>
      </w:r>
    </w:p>
    <w:p w:rsidR="00D26DCA" w:rsidRPr="00FB43CD" w:rsidRDefault="00F12482" w:rsidP="00D26DCA">
      <w:pPr>
        <w:spacing w:after="0" w:line="480" w:lineRule="auto"/>
        <w:rPr>
          <w:rFonts w:ascii="Arial" w:hAnsi="Arial" w:cs="Arial"/>
          <w:b/>
          <w:sz w:val="24"/>
          <w:szCs w:val="24"/>
        </w:rPr>
      </w:pPr>
      <w:r w:rsidRPr="00FB43CD">
        <w:rPr>
          <w:rFonts w:ascii="Arial" w:hAnsi="Arial" w:cs="Arial"/>
          <w:b/>
          <w:sz w:val="24"/>
          <w:szCs w:val="24"/>
        </w:rPr>
        <w:t>3.0</w:t>
      </w:r>
      <w:r w:rsidR="00BF7B1E" w:rsidRPr="00FB43CD">
        <w:rPr>
          <w:rFonts w:ascii="Arial" w:hAnsi="Arial" w:cs="Arial"/>
          <w:b/>
          <w:sz w:val="24"/>
          <w:szCs w:val="24"/>
        </w:rPr>
        <w:tab/>
        <w:t>Background</w:t>
      </w:r>
    </w:p>
    <w:p w:rsidR="00D26DCA" w:rsidRPr="00FB43CD" w:rsidRDefault="00307939" w:rsidP="00D26DCA">
      <w:pPr>
        <w:spacing w:after="0" w:line="480" w:lineRule="auto"/>
        <w:rPr>
          <w:rFonts w:ascii="Arial" w:hAnsi="Arial" w:cs="Arial"/>
          <w:b/>
          <w:sz w:val="24"/>
          <w:szCs w:val="24"/>
        </w:rPr>
      </w:pPr>
      <w:r w:rsidRPr="00FB43CD">
        <w:rPr>
          <w:rFonts w:ascii="Arial" w:hAnsi="Arial" w:cs="Arial"/>
          <w:b/>
          <w:sz w:val="24"/>
          <w:szCs w:val="24"/>
        </w:rPr>
        <w:t>4.0</w:t>
      </w:r>
      <w:r w:rsidRPr="00FB43CD">
        <w:rPr>
          <w:rFonts w:ascii="Arial" w:hAnsi="Arial" w:cs="Arial"/>
          <w:b/>
          <w:sz w:val="24"/>
          <w:szCs w:val="24"/>
        </w:rPr>
        <w:tab/>
      </w:r>
      <w:r w:rsidR="00D26DCA" w:rsidRPr="00FB43CD">
        <w:rPr>
          <w:rFonts w:ascii="Arial" w:hAnsi="Arial" w:cs="Arial"/>
          <w:b/>
          <w:sz w:val="24"/>
          <w:szCs w:val="24"/>
        </w:rPr>
        <w:t>Comments/Rebuttal - BNP Paribas Report</w:t>
      </w:r>
    </w:p>
    <w:p w:rsidR="0002553B" w:rsidRPr="00FB43CD" w:rsidRDefault="00D26DCA" w:rsidP="00F55B57">
      <w:pPr>
        <w:spacing w:after="0" w:line="480" w:lineRule="auto"/>
        <w:rPr>
          <w:rFonts w:ascii="Arial" w:hAnsi="Arial" w:cs="Arial"/>
          <w:b/>
          <w:sz w:val="24"/>
          <w:szCs w:val="24"/>
        </w:rPr>
      </w:pPr>
      <w:r w:rsidRPr="00FB43CD">
        <w:rPr>
          <w:rFonts w:ascii="Arial" w:hAnsi="Arial" w:cs="Arial"/>
          <w:b/>
          <w:sz w:val="24"/>
          <w:szCs w:val="24"/>
        </w:rPr>
        <w:t>5.0</w:t>
      </w:r>
      <w:r w:rsidRPr="00FB43CD">
        <w:rPr>
          <w:rFonts w:ascii="Arial" w:hAnsi="Arial" w:cs="Arial"/>
          <w:b/>
          <w:sz w:val="24"/>
          <w:szCs w:val="24"/>
        </w:rPr>
        <w:tab/>
      </w:r>
      <w:r w:rsidR="0082394F" w:rsidRPr="00FB43CD">
        <w:rPr>
          <w:rFonts w:ascii="Arial" w:hAnsi="Arial" w:cs="Arial"/>
          <w:b/>
          <w:sz w:val="24"/>
          <w:szCs w:val="24"/>
        </w:rPr>
        <w:t>Comparison of Opinions &amp; Key Issues.</w:t>
      </w:r>
    </w:p>
    <w:p w:rsidR="00D26DCA" w:rsidRPr="00FB43CD" w:rsidRDefault="0082394F" w:rsidP="00BF7B1E">
      <w:pPr>
        <w:spacing w:after="0" w:line="480" w:lineRule="auto"/>
        <w:rPr>
          <w:rFonts w:ascii="Arial" w:hAnsi="Arial" w:cs="Arial"/>
          <w:b/>
          <w:sz w:val="24"/>
          <w:szCs w:val="24"/>
        </w:rPr>
      </w:pPr>
      <w:r w:rsidRPr="00FB43CD">
        <w:rPr>
          <w:rFonts w:ascii="Arial" w:hAnsi="Arial" w:cs="Arial"/>
          <w:b/>
          <w:sz w:val="24"/>
          <w:szCs w:val="24"/>
        </w:rPr>
        <w:t>6.0</w:t>
      </w:r>
      <w:r w:rsidRPr="00FB43CD">
        <w:rPr>
          <w:rFonts w:ascii="Arial" w:hAnsi="Arial" w:cs="Arial"/>
          <w:b/>
          <w:sz w:val="24"/>
          <w:szCs w:val="24"/>
        </w:rPr>
        <w:tab/>
        <w:t>Conclusion</w:t>
      </w:r>
    </w:p>
    <w:p w:rsidR="00F12482" w:rsidRPr="00FB43CD" w:rsidRDefault="0082394F" w:rsidP="00BF7B1E">
      <w:pPr>
        <w:spacing w:after="0" w:line="480" w:lineRule="auto"/>
        <w:rPr>
          <w:rFonts w:ascii="Arial" w:hAnsi="Arial" w:cs="Arial"/>
          <w:b/>
          <w:sz w:val="24"/>
          <w:szCs w:val="24"/>
        </w:rPr>
      </w:pPr>
      <w:r w:rsidRPr="00FB43CD">
        <w:rPr>
          <w:rFonts w:ascii="Arial" w:hAnsi="Arial" w:cs="Arial"/>
          <w:b/>
          <w:sz w:val="24"/>
          <w:szCs w:val="24"/>
        </w:rPr>
        <w:t>7</w:t>
      </w:r>
      <w:r w:rsidR="0002553B" w:rsidRPr="00FB43CD">
        <w:rPr>
          <w:rFonts w:ascii="Arial" w:hAnsi="Arial" w:cs="Arial"/>
          <w:b/>
          <w:sz w:val="24"/>
          <w:szCs w:val="24"/>
        </w:rPr>
        <w:t>.0</w:t>
      </w:r>
      <w:r w:rsidR="0002553B" w:rsidRPr="00FB43CD">
        <w:rPr>
          <w:rFonts w:ascii="Arial" w:hAnsi="Arial" w:cs="Arial"/>
          <w:b/>
          <w:sz w:val="24"/>
          <w:szCs w:val="24"/>
        </w:rPr>
        <w:tab/>
        <w:t>Statement of Truth &amp; Declaration</w:t>
      </w:r>
    </w:p>
    <w:p w:rsidR="00F12482" w:rsidRDefault="00F12482" w:rsidP="00806742">
      <w:pPr>
        <w:spacing w:after="0" w:line="240" w:lineRule="auto"/>
        <w:rPr>
          <w:rFonts w:ascii="Arial" w:hAnsi="Arial" w:cs="Arial"/>
          <w:sz w:val="24"/>
          <w:szCs w:val="24"/>
        </w:rPr>
      </w:pPr>
    </w:p>
    <w:p w:rsidR="00FB43C7" w:rsidRDefault="00FB43C7" w:rsidP="00FB43C7">
      <w:pPr>
        <w:spacing w:after="0" w:line="240" w:lineRule="auto"/>
        <w:rPr>
          <w:rFonts w:ascii="Arial" w:hAnsi="Arial" w:cs="Arial"/>
          <w:sz w:val="24"/>
          <w:szCs w:val="24"/>
        </w:rPr>
      </w:pPr>
    </w:p>
    <w:p w:rsidR="00FB43C7" w:rsidRPr="00FB43C7" w:rsidRDefault="00FB43C7" w:rsidP="00FB43C7">
      <w:pPr>
        <w:spacing w:after="0" w:line="240" w:lineRule="auto"/>
        <w:rPr>
          <w:rFonts w:ascii="Arial" w:hAnsi="Arial" w:cs="Arial"/>
          <w:b/>
          <w:sz w:val="24"/>
          <w:szCs w:val="24"/>
        </w:rPr>
      </w:pPr>
      <w:r w:rsidRPr="00FB43C7">
        <w:rPr>
          <w:rFonts w:ascii="Arial" w:hAnsi="Arial" w:cs="Arial"/>
          <w:b/>
          <w:sz w:val="24"/>
          <w:szCs w:val="24"/>
        </w:rPr>
        <w:t>Appendices:-</w:t>
      </w:r>
    </w:p>
    <w:p w:rsidR="00FB43C7" w:rsidRDefault="00FB43C7" w:rsidP="00FB43C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71"/>
        <w:gridCol w:w="7745"/>
      </w:tblGrid>
      <w:tr w:rsidR="00FB43C7" w:rsidTr="00FB43C7">
        <w:tc>
          <w:tcPr>
            <w:tcW w:w="1271" w:type="dxa"/>
          </w:tcPr>
          <w:p w:rsidR="00FB43C7" w:rsidRPr="009E77AF" w:rsidRDefault="00A94844" w:rsidP="00FB43C7">
            <w:pPr>
              <w:rPr>
                <w:rFonts w:ascii="Arial" w:hAnsi="Arial" w:cs="Arial"/>
              </w:rPr>
            </w:pPr>
            <w:r>
              <w:rPr>
                <w:rFonts w:ascii="Arial" w:hAnsi="Arial" w:cs="Arial"/>
              </w:rPr>
              <w:t>A</w:t>
            </w:r>
          </w:p>
        </w:tc>
        <w:tc>
          <w:tcPr>
            <w:tcW w:w="7745" w:type="dxa"/>
          </w:tcPr>
          <w:p w:rsidR="00796660" w:rsidRPr="007C67EB" w:rsidRDefault="00796660" w:rsidP="00FB43C7">
            <w:pPr>
              <w:rPr>
                <w:rFonts w:ascii="Arial" w:hAnsi="Arial" w:cs="Arial"/>
                <w:sz w:val="20"/>
                <w:szCs w:val="20"/>
              </w:rPr>
            </w:pPr>
            <w:r>
              <w:rPr>
                <w:rFonts w:ascii="Arial" w:hAnsi="Arial" w:cs="Arial"/>
                <w:sz w:val="20"/>
                <w:szCs w:val="20"/>
              </w:rPr>
              <w:t>Rapleys Viability Report</w:t>
            </w:r>
          </w:p>
        </w:tc>
      </w:tr>
      <w:tr w:rsidR="001C3DF3" w:rsidTr="00FB43C7">
        <w:tc>
          <w:tcPr>
            <w:tcW w:w="1271" w:type="dxa"/>
          </w:tcPr>
          <w:p w:rsidR="001C3DF3" w:rsidRDefault="006966AC" w:rsidP="00FB43C7">
            <w:pPr>
              <w:rPr>
                <w:rFonts w:ascii="Arial" w:hAnsi="Arial" w:cs="Arial"/>
              </w:rPr>
            </w:pPr>
            <w:r>
              <w:rPr>
                <w:rFonts w:ascii="Arial" w:hAnsi="Arial" w:cs="Arial"/>
              </w:rPr>
              <w:t>B</w:t>
            </w:r>
          </w:p>
        </w:tc>
        <w:tc>
          <w:tcPr>
            <w:tcW w:w="7745" w:type="dxa"/>
          </w:tcPr>
          <w:p w:rsidR="001C3DF3" w:rsidRDefault="00796660" w:rsidP="00FB43C7">
            <w:pPr>
              <w:rPr>
                <w:rFonts w:ascii="Arial" w:hAnsi="Arial" w:cs="Arial"/>
                <w:sz w:val="20"/>
                <w:szCs w:val="20"/>
              </w:rPr>
            </w:pPr>
            <w:r>
              <w:rPr>
                <w:rFonts w:ascii="Arial" w:hAnsi="Arial" w:cs="Arial"/>
                <w:sz w:val="20"/>
                <w:szCs w:val="20"/>
              </w:rPr>
              <w:t>James Brown – Review of Comments</w:t>
            </w:r>
          </w:p>
        </w:tc>
      </w:tr>
      <w:tr w:rsidR="001C3DF3" w:rsidTr="00FB43C7">
        <w:tc>
          <w:tcPr>
            <w:tcW w:w="1271" w:type="dxa"/>
          </w:tcPr>
          <w:p w:rsidR="001C3DF3" w:rsidRDefault="006966AC" w:rsidP="00FB43C7">
            <w:pPr>
              <w:rPr>
                <w:rFonts w:ascii="Arial" w:hAnsi="Arial" w:cs="Arial"/>
              </w:rPr>
            </w:pPr>
            <w:r>
              <w:rPr>
                <w:rFonts w:ascii="Arial" w:hAnsi="Arial" w:cs="Arial"/>
              </w:rPr>
              <w:t>C</w:t>
            </w:r>
          </w:p>
        </w:tc>
        <w:tc>
          <w:tcPr>
            <w:tcW w:w="7745" w:type="dxa"/>
          </w:tcPr>
          <w:p w:rsidR="001C3DF3" w:rsidRDefault="00796660" w:rsidP="00FB43C7">
            <w:pPr>
              <w:rPr>
                <w:rFonts w:ascii="Arial" w:hAnsi="Arial" w:cs="Arial"/>
                <w:sz w:val="20"/>
                <w:szCs w:val="20"/>
              </w:rPr>
            </w:pPr>
            <w:r>
              <w:rPr>
                <w:rFonts w:ascii="Arial" w:hAnsi="Arial" w:cs="Arial"/>
                <w:sz w:val="20"/>
                <w:szCs w:val="20"/>
              </w:rPr>
              <w:t>Create Schedule dated 14/10/2019</w:t>
            </w:r>
          </w:p>
        </w:tc>
      </w:tr>
      <w:tr w:rsidR="001C3DF3" w:rsidTr="00FB43C7">
        <w:tc>
          <w:tcPr>
            <w:tcW w:w="1271" w:type="dxa"/>
          </w:tcPr>
          <w:p w:rsidR="001C3DF3" w:rsidRDefault="006966AC" w:rsidP="00FB43C7">
            <w:pPr>
              <w:rPr>
                <w:rFonts w:ascii="Arial" w:hAnsi="Arial" w:cs="Arial"/>
              </w:rPr>
            </w:pPr>
            <w:r>
              <w:rPr>
                <w:rFonts w:ascii="Arial" w:hAnsi="Arial" w:cs="Arial"/>
              </w:rPr>
              <w:t>D</w:t>
            </w:r>
          </w:p>
        </w:tc>
        <w:tc>
          <w:tcPr>
            <w:tcW w:w="7745" w:type="dxa"/>
          </w:tcPr>
          <w:p w:rsidR="001C3DF3" w:rsidRDefault="00796660" w:rsidP="00FB43C7">
            <w:pPr>
              <w:rPr>
                <w:rFonts w:ascii="Arial" w:hAnsi="Arial" w:cs="Arial"/>
                <w:sz w:val="20"/>
                <w:szCs w:val="20"/>
              </w:rPr>
            </w:pPr>
            <w:r>
              <w:rPr>
                <w:rFonts w:ascii="Arial" w:hAnsi="Arial" w:cs="Arial"/>
                <w:sz w:val="20"/>
                <w:szCs w:val="20"/>
              </w:rPr>
              <w:t>RLF Costing – Chatfield Road</w:t>
            </w:r>
          </w:p>
        </w:tc>
      </w:tr>
    </w:tbl>
    <w:p w:rsidR="00FB43C7" w:rsidRPr="00FB43C7" w:rsidRDefault="00FB43C7" w:rsidP="00FB43C7">
      <w:pPr>
        <w:spacing w:after="0" w:line="240" w:lineRule="auto"/>
        <w:rPr>
          <w:rFonts w:ascii="Arial" w:hAnsi="Arial" w:cs="Arial"/>
          <w:sz w:val="24"/>
          <w:szCs w:val="24"/>
        </w:rPr>
      </w:pPr>
    </w:p>
    <w:p w:rsidR="00FB43C7" w:rsidRDefault="00FB43C7" w:rsidP="00FB43C7">
      <w:pPr>
        <w:spacing w:after="0" w:line="240" w:lineRule="auto"/>
        <w:ind w:left="709"/>
        <w:rPr>
          <w:rFonts w:ascii="Arial" w:hAnsi="Arial" w:cs="Arial"/>
          <w:b/>
          <w:sz w:val="24"/>
          <w:szCs w:val="24"/>
        </w:rPr>
      </w:pPr>
    </w:p>
    <w:p w:rsidR="00FB43C7" w:rsidRDefault="00FB43C7" w:rsidP="00FB43C7">
      <w:pPr>
        <w:ind w:left="709"/>
        <w:rPr>
          <w:rFonts w:ascii="Arial" w:hAnsi="Arial" w:cs="Arial"/>
          <w:b/>
          <w:sz w:val="24"/>
          <w:szCs w:val="24"/>
        </w:rPr>
      </w:pPr>
    </w:p>
    <w:p w:rsidR="00E01151" w:rsidRDefault="002B2EFC" w:rsidP="00E01151">
      <w:pPr>
        <w:rPr>
          <w:rFonts w:ascii="Arial" w:hAnsi="Arial" w:cs="Arial"/>
          <w:b/>
          <w:sz w:val="24"/>
          <w:szCs w:val="24"/>
        </w:rPr>
      </w:pPr>
      <w:r>
        <w:rPr>
          <w:rFonts w:ascii="Arial" w:hAnsi="Arial" w:cs="Arial"/>
          <w:b/>
          <w:sz w:val="24"/>
          <w:szCs w:val="24"/>
        </w:rPr>
        <w:br w:type="page"/>
      </w:r>
    </w:p>
    <w:p w:rsidR="00E01151" w:rsidRPr="00E01151" w:rsidRDefault="008F2B59" w:rsidP="00CF619C">
      <w:pPr>
        <w:spacing w:after="0" w:line="480" w:lineRule="auto"/>
        <w:ind w:left="142" w:hanging="709"/>
        <w:jc w:val="both"/>
        <w:rPr>
          <w:rFonts w:ascii="Arial" w:hAnsi="Arial" w:cs="Arial"/>
          <w:b/>
          <w:sz w:val="24"/>
          <w:szCs w:val="24"/>
        </w:rPr>
      </w:pPr>
      <w:r w:rsidRPr="008F2B59">
        <w:rPr>
          <w:rFonts w:ascii="Arial" w:hAnsi="Arial" w:cs="Arial"/>
          <w:b/>
          <w:sz w:val="24"/>
          <w:szCs w:val="24"/>
        </w:rPr>
        <w:lastRenderedPageBreak/>
        <w:t>1.0</w:t>
      </w:r>
      <w:r w:rsidRPr="008F2B59">
        <w:rPr>
          <w:rFonts w:ascii="Arial" w:hAnsi="Arial" w:cs="Arial"/>
          <w:b/>
          <w:sz w:val="24"/>
          <w:szCs w:val="24"/>
        </w:rPr>
        <w:tab/>
      </w:r>
      <w:r w:rsidR="00E01151" w:rsidRPr="00E01151">
        <w:rPr>
          <w:rFonts w:ascii="Arial" w:hAnsi="Arial" w:cs="Arial"/>
          <w:b/>
          <w:sz w:val="24"/>
          <w:szCs w:val="24"/>
        </w:rPr>
        <w:t>Professional Background</w:t>
      </w:r>
      <w:r w:rsidR="00791F74">
        <w:rPr>
          <w:rFonts w:ascii="Arial" w:hAnsi="Arial" w:cs="Arial"/>
          <w:b/>
          <w:sz w:val="24"/>
          <w:szCs w:val="24"/>
        </w:rPr>
        <w:t>:-</w:t>
      </w:r>
    </w:p>
    <w:p w:rsidR="00E01151" w:rsidRDefault="00806742" w:rsidP="00CF619C">
      <w:pPr>
        <w:spacing w:after="0" w:line="480" w:lineRule="auto"/>
        <w:ind w:left="142" w:hanging="709"/>
        <w:jc w:val="both"/>
        <w:rPr>
          <w:rFonts w:ascii="Arial" w:hAnsi="Arial" w:cs="Arial"/>
          <w:sz w:val="24"/>
          <w:szCs w:val="24"/>
        </w:rPr>
      </w:pPr>
      <w:r>
        <w:rPr>
          <w:rFonts w:ascii="Arial" w:hAnsi="Arial" w:cs="Arial"/>
          <w:sz w:val="24"/>
          <w:szCs w:val="24"/>
        </w:rPr>
        <w:t>1</w:t>
      </w:r>
      <w:r w:rsidR="00E01151">
        <w:rPr>
          <w:rFonts w:ascii="Arial" w:hAnsi="Arial" w:cs="Arial"/>
          <w:sz w:val="24"/>
          <w:szCs w:val="24"/>
        </w:rPr>
        <w:t>.1</w:t>
      </w:r>
      <w:r w:rsidR="00E01151">
        <w:rPr>
          <w:rFonts w:ascii="Arial" w:hAnsi="Arial" w:cs="Arial"/>
          <w:sz w:val="24"/>
          <w:szCs w:val="24"/>
        </w:rPr>
        <w:tab/>
      </w:r>
      <w:r w:rsidR="00B2450E" w:rsidRPr="00E01151">
        <w:rPr>
          <w:rFonts w:ascii="Arial" w:hAnsi="Arial" w:cs="Arial"/>
          <w:sz w:val="24"/>
          <w:szCs w:val="24"/>
        </w:rPr>
        <w:t>My name is James R Brown</w:t>
      </w:r>
      <w:r w:rsidR="00393C10" w:rsidRPr="00E01151">
        <w:rPr>
          <w:rFonts w:ascii="Arial" w:hAnsi="Arial" w:cs="Arial"/>
          <w:sz w:val="24"/>
          <w:szCs w:val="24"/>
        </w:rPr>
        <w:t xml:space="preserve"> </w:t>
      </w:r>
      <w:r w:rsidR="002C7539">
        <w:rPr>
          <w:rFonts w:ascii="Arial" w:hAnsi="Arial" w:cs="Arial"/>
          <w:sz w:val="24"/>
          <w:szCs w:val="24"/>
        </w:rPr>
        <w:t xml:space="preserve">BSc (Hons) MRICS </w:t>
      </w:r>
      <w:r w:rsidR="00393C10" w:rsidRPr="00E01151">
        <w:rPr>
          <w:rFonts w:ascii="Arial" w:hAnsi="Arial" w:cs="Arial"/>
          <w:sz w:val="24"/>
          <w:szCs w:val="24"/>
        </w:rPr>
        <w:t>and I am an expert in development v</w:t>
      </w:r>
      <w:r w:rsidR="00E01151" w:rsidRPr="00E01151">
        <w:rPr>
          <w:rFonts w:ascii="Arial" w:hAnsi="Arial" w:cs="Arial"/>
          <w:sz w:val="24"/>
          <w:szCs w:val="24"/>
        </w:rPr>
        <w:t>iability and affordable housing.</w:t>
      </w:r>
    </w:p>
    <w:p w:rsidR="00393C10" w:rsidRDefault="005B2D35" w:rsidP="00CF619C">
      <w:pPr>
        <w:spacing w:after="0" w:line="480" w:lineRule="auto"/>
        <w:ind w:left="142" w:hanging="709"/>
        <w:jc w:val="both"/>
        <w:rPr>
          <w:rFonts w:ascii="Arial" w:hAnsi="Arial" w:cs="Arial"/>
          <w:sz w:val="24"/>
          <w:szCs w:val="24"/>
        </w:rPr>
      </w:pPr>
      <w:r>
        <w:rPr>
          <w:rFonts w:ascii="Arial" w:hAnsi="Arial" w:cs="Arial"/>
          <w:sz w:val="24"/>
          <w:szCs w:val="24"/>
        </w:rPr>
        <w:t>1</w:t>
      </w:r>
      <w:r w:rsidR="00393C10" w:rsidRPr="00193ABD">
        <w:rPr>
          <w:rFonts w:ascii="Arial" w:hAnsi="Arial" w:cs="Arial"/>
          <w:sz w:val="24"/>
          <w:szCs w:val="24"/>
        </w:rPr>
        <w:t>.2</w:t>
      </w:r>
      <w:r w:rsidR="00393C10" w:rsidRPr="00193ABD">
        <w:rPr>
          <w:rFonts w:ascii="Arial" w:hAnsi="Arial" w:cs="Arial"/>
          <w:sz w:val="24"/>
          <w:szCs w:val="24"/>
        </w:rPr>
        <w:tab/>
      </w:r>
      <w:r w:rsidR="006425FF">
        <w:rPr>
          <w:rFonts w:ascii="Arial" w:hAnsi="Arial" w:cs="Arial"/>
          <w:sz w:val="24"/>
          <w:szCs w:val="24"/>
        </w:rPr>
        <w:t>I qualified as a Chartered Surveyor in 1992.</w:t>
      </w:r>
    </w:p>
    <w:p w:rsidR="006425FF" w:rsidRDefault="005B2D35" w:rsidP="00CF619C">
      <w:pPr>
        <w:spacing w:after="0" w:line="480" w:lineRule="auto"/>
        <w:ind w:left="142" w:hanging="709"/>
        <w:jc w:val="both"/>
        <w:rPr>
          <w:rFonts w:ascii="Arial" w:hAnsi="Arial" w:cs="Arial"/>
          <w:sz w:val="24"/>
          <w:szCs w:val="24"/>
        </w:rPr>
      </w:pPr>
      <w:r>
        <w:rPr>
          <w:rFonts w:ascii="Arial" w:hAnsi="Arial" w:cs="Arial"/>
          <w:sz w:val="24"/>
          <w:szCs w:val="24"/>
        </w:rPr>
        <w:t>1</w:t>
      </w:r>
      <w:r w:rsidR="006425FF">
        <w:rPr>
          <w:rFonts w:ascii="Arial" w:hAnsi="Arial" w:cs="Arial"/>
          <w:sz w:val="24"/>
          <w:szCs w:val="24"/>
        </w:rPr>
        <w:t>.3</w:t>
      </w:r>
      <w:r w:rsidR="006425FF">
        <w:rPr>
          <w:rFonts w:ascii="Arial" w:hAnsi="Arial" w:cs="Arial"/>
          <w:sz w:val="24"/>
          <w:szCs w:val="24"/>
        </w:rPr>
        <w:tab/>
        <w:t>I have specialised in development viability and affordable housing since 2001 and focussed on affordable housing valuation before this.</w:t>
      </w:r>
    </w:p>
    <w:p w:rsidR="006425FF" w:rsidRDefault="005B2D35" w:rsidP="00CF619C">
      <w:pPr>
        <w:spacing w:after="0" w:line="480" w:lineRule="auto"/>
        <w:ind w:left="142" w:hanging="709"/>
        <w:jc w:val="both"/>
        <w:rPr>
          <w:rFonts w:ascii="Arial" w:hAnsi="Arial" w:cs="Arial"/>
          <w:sz w:val="24"/>
          <w:szCs w:val="24"/>
        </w:rPr>
      </w:pPr>
      <w:r>
        <w:rPr>
          <w:rFonts w:ascii="Arial" w:hAnsi="Arial" w:cs="Arial"/>
          <w:sz w:val="24"/>
          <w:szCs w:val="24"/>
        </w:rPr>
        <w:t>1</w:t>
      </w:r>
      <w:r w:rsidR="006425FF">
        <w:rPr>
          <w:rFonts w:ascii="Arial" w:hAnsi="Arial" w:cs="Arial"/>
          <w:sz w:val="24"/>
          <w:szCs w:val="24"/>
        </w:rPr>
        <w:t>.4</w:t>
      </w:r>
      <w:r w:rsidR="006425FF">
        <w:rPr>
          <w:rFonts w:ascii="Arial" w:hAnsi="Arial" w:cs="Arial"/>
          <w:sz w:val="24"/>
          <w:szCs w:val="24"/>
        </w:rPr>
        <w:tab/>
        <w:t>Over the last 18 years, I have worked for</w:t>
      </w:r>
      <w:r w:rsidR="0022202E">
        <w:rPr>
          <w:rFonts w:ascii="Arial" w:hAnsi="Arial" w:cs="Arial"/>
          <w:sz w:val="24"/>
          <w:szCs w:val="24"/>
        </w:rPr>
        <w:t>;</w:t>
      </w:r>
      <w:r w:rsidR="006425FF">
        <w:rPr>
          <w:rFonts w:ascii="Arial" w:hAnsi="Arial" w:cs="Arial"/>
          <w:sz w:val="24"/>
          <w:szCs w:val="24"/>
        </w:rPr>
        <w:t xml:space="preserve"> Savills plc, Hamptons International and Strutt &amp; Parker LLP.</w:t>
      </w:r>
      <w:r w:rsidR="00C94D59">
        <w:rPr>
          <w:rFonts w:ascii="Arial" w:hAnsi="Arial" w:cs="Arial"/>
          <w:sz w:val="24"/>
          <w:szCs w:val="24"/>
        </w:rPr>
        <w:t xml:space="preserve"> I set up and headed viability &amp; affordable housing departments at each of these firms.</w:t>
      </w:r>
    </w:p>
    <w:p w:rsidR="00C94D59" w:rsidRDefault="005B2D35" w:rsidP="00CF619C">
      <w:pPr>
        <w:spacing w:after="0" w:line="480" w:lineRule="auto"/>
        <w:ind w:left="142" w:hanging="709"/>
        <w:jc w:val="both"/>
        <w:rPr>
          <w:rFonts w:ascii="Arial" w:hAnsi="Arial" w:cs="Arial"/>
          <w:sz w:val="24"/>
          <w:szCs w:val="24"/>
        </w:rPr>
      </w:pPr>
      <w:r>
        <w:rPr>
          <w:rFonts w:ascii="Arial" w:hAnsi="Arial" w:cs="Arial"/>
          <w:sz w:val="24"/>
          <w:szCs w:val="24"/>
        </w:rPr>
        <w:t>1</w:t>
      </w:r>
      <w:r w:rsidR="006B13B8">
        <w:rPr>
          <w:rFonts w:ascii="Arial" w:hAnsi="Arial" w:cs="Arial"/>
          <w:sz w:val="24"/>
          <w:szCs w:val="24"/>
        </w:rPr>
        <w:t>.</w:t>
      </w:r>
      <w:r w:rsidR="00432FD4">
        <w:rPr>
          <w:rFonts w:ascii="Arial" w:hAnsi="Arial" w:cs="Arial"/>
          <w:sz w:val="24"/>
          <w:szCs w:val="24"/>
        </w:rPr>
        <w:t>5</w:t>
      </w:r>
      <w:r w:rsidR="006425FF">
        <w:rPr>
          <w:rFonts w:ascii="Arial" w:hAnsi="Arial" w:cs="Arial"/>
          <w:sz w:val="24"/>
          <w:szCs w:val="24"/>
        </w:rPr>
        <w:tab/>
        <w:t xml:space="preserve">I </w:t>
      </w:r>
      <w:r w:rsidR="00C94D59">
        <w:rPr>
          <w:rFonts w:ascii="Arial" w:hAnsi="Arial" w:cs="Arial"/>
          <w:sz w:val="24"/>
          <w:szCs w:val="24"/>
        </w:rPr>
        <w:t>left Strutt &amp; Parker in 2015 to establish James R Brown &amp; Company L</w:t>
      </w:r>
      <w:r w:rsidR="0037121E">
        <w:rPr>
          <w:rFonts w:ascii="Arial" w:hAnsi="Arial" w:cs="Arial"/>
          <w:sz w:val="24"/>
          <w:szCs w:val="24"/>
        </w:rPr>
        <w:t xml:space="preserve">td which specialises in </w:t>
      </w:r>
      <w:r w:rsidR="0037121E" w:rsidRPr="00193ABD">
        <w:rPr>
          <w:rFonts w:ascii="Arial" w:hAnsi="Arial" w:cs="Arial"/>
          <w:sz w:val="24"/>
          <w:szCs w:val="24"/>
        </w:rPr>
        <w:t>development viability and affordable housing</w:t>
      </w:r>
      <w:r w:rsidR="0037121E">
        <w:rPr>
          <w:rFonts w:ascii="Arial" w:hAnsi="Arial" w:cs="Arial"/>
          <w:sz w:val="24"/>
          <w:szCs w:val="24"/>
        </w:rPr>
        <w:t>.</w:t>
      </w:r>
    </w:p>
    <w:p w:rsidR="006425FF" w:rsidRPr="00CF619C" w:rsidRDefault="005B2D35" w:rsidP="00CF619C">
      <w:pPr>
        <w:spacing w:after="0" w:line="480" w:lineRule="auto"/>
        <w:ind w:left="142" w:hanging="709"/>
        <w:jc w:val="both"/>
        <w:rPr>
          <w:rFonts w:ascii="Arial" w:hAnsi="Arial" w:cs="Arial"/>
          <w:sz w:val="24"/>
          <w:szCs w:val="24"/>
        </w:rPr>
      </w:pPr>
      <w:r w:rsidRPr="00CF619C">
        <w:rPr>
          <w:rFonts w:ascii="Arial" w:hAnsi="Arial" w:cs="Arial"/>
          <w:sz w:val="24"/>
          <w:szCs w:val="24"/>
        </w:rPr>
        <w:t>1</w:t>
      </w:r>
      <w:r w:rsidR="00432FD4" w:rsidRPr="00CF619C">
        <w:rPr>
          <w:rFonts w:ascii="Arial" w:hAnsi="Arial" w:cs="Arial"/>
          <w:sz w:val="24"/>
          <w:szCs w:val="24"/>
        </w:rPr>
        <w:t>.6</w:t>
      </w:r>
      <w:r w:rsidR="006425FF" w:rsidRPr="00CF619C">
        <w:rPr>
          <w:rFonts w:ascii="Arial" w:hAnsi="Arial" w:cs="Arial"/>
          <w:sz w:val="24"/>
          <w:szCs w:val="24"/>
        </w:rPr>
        <w:tab/>
        <w:t>Over the last 10 years, I have</w:t>
      </w:r>
      <w:r w:rsidR="00146389" w:rsidRPr="00CF619C">
        <w:rPr>
          <w:rFonts w:ascii="Arial" w:hAnsi="Arial" w:cs="Arial"/>
          <w:sz w:val="24"/>
          <w:szCs w:val="24"/>
        </w:rPr>
        <w:t>;</w:t>
      </w:r>
      <w:r w:rsidR="006425FF" w:rsidRPr="00CF619C">
        <w:rPr>
          <w:rFonts w:ascii="Arial" w:hAnsi="Arial" w:cs="Arial"/>
          <w:sz w:val="24"/>
          <w:szCs w:val="24"/>
        </w:rPr>
        <w:t xml:space="preserve"> spoken at </w:t>
      </w:r>
      <w:r w:rsidR="00C94D59" w:rsidRPr="00CF619C">
        <w:rPr>
          <w:rFonts w:ascii="Arial" w:hAnsi="Arial" w:cs="Arial"/>
          <w:sz w:val="24"/>
          <w:szCs w:val="24"/>
        </w:rPr>
        <w:t>numerous</w:t>
      </w:r>
      <w:r w:rsidR="006425FF" w:rsidRPr="00CF619C">
        <w:rPr>
          <w:rFonts w:ascii="Arial" w:hAnsi="Arial" w:cs="Arial"/>
          <w:sz w:val="24"/>
          <w:szCs w:val="24"/>
        </w:rPr>
        <w:t xml:space="preserve"> seminars on development viability and affordable housing, acted as Expert Witness at several planning appeals </w:t>
      </w:r>
      <w:r w:rsidR="00CF619C" w:rsidRPr="00CF619C">
        <w:rPr>
          <w:rFonts w:ascii="Arial" w:hAnsi="Arial" w:cs="Arial"/>
          <w:sz w:val="24"/>
          <w:szCs w:val="24"/>
        </w:rPr>
        <w:t>(with APP/C5690/W/18/3205926 being the most recent)</w:t>
      </w:r>
      <w:r w:rsidR="00CF619C" w:rsidRPr="00CF619C">
        <w:rPr>
          <w:rFonts w:ascii="Arial" w:hAnsi="Arial" w:cs="Arial"/>
          <w:sz w:val="18"/>
          <w:szCs w:val="18"/>
        </w:rPr>
        <w:t xml:space="preserve"> </w:t>
      </w:r>
      <w:r w:rsidR="006425FF" w:rsidRPr="00CF619C">
        <w:rPr>
          <w:rFonts w:ascii="Arial" w:hAnsi="Arial" w:cs="Arial"/>
          <w:sz w:val="24"/>
          <w:szCs w:val="24"/>
        </w:rPr>
        <w:t xml:space="preserve">and </w:t>
      </w:r>
      <w:r w:rsidR="00C921D6">
        <w:rPr>
          <w:rFonts w:ascii="Arial" w:hAnsi="Arial" w:cs="Arial"/>
          <w:sz w:val="24"/>
          <w:szCs w:val="24"/>
        </w:rPr>
        <w:t xml:space="preserve">I </w:t>
      </w:r>
      <w:r w:rsidR="00E25319" w:rsidRPr="00CF619C">
        <w:rPr>
          <w:rFonts w:ascii="Arial" w:hAnsi="Arial" w:cs="Arial"/>
          <w:sz w:val="24"/>
          <w:szCs w:val="24"/>
        </w:rPr>
        <w:t xml:space="preserve">am acknowledged as a participant in </w:t>
      </w:r>
      <w:r w:rsidR="00885A32" w:rsidRPr="00CF619C">
        <w:rPr>
          <w:rFonts w:ascii="Arial" w:hAnsi="Arial" w:cs="Arial"/>
          <w:sz w:val="24"/>
          <w:szCs w:val="24"/>
        </w:rPr>
        <w:t>the production of “Financial Viability in Planning – Guidance Note 94/2012 – 1</w:t>
      </w:r>
      <w:r w:rsidR="00885A32" w:rsidRPr="00CF619C">
        <w:rPr>
          <w:rFonts w:ascii="Arial" w:hAnsi="Arial" w:cs="Arial"/>
          <w:sz w:val="24"/>
          <w:szCs w:val="24"/>
          <w:vertAlign w:val="superscript"/>
        </w:rPr>
        <w:t>st</w:t>
      </w:r>
      <w:r w:rsidR="00885A32" w:rsidRPr="00CF619C">
        <w:rPr>
          <w:rFonts w:ascii="Arial" w:hAnsi="Arial" w:cs="Arial"/>
          <w:sz w:val="24"/>
          <w:szCs w:val="24"/>
        </w:rPr>
        <w:t xml:space="preserve"> Edition</w:t>
      </w:r>
      <w:r w:rsidR="00533183" w:rsidRPr="00CF619C">
        <w:rPr>
          <w:rFonts w:ascii="Arial" w:hAnsi="Arial" w:cs="Arial"/>
          <w:sz w:val="24"/>
          <w:szCs w:val="24"/>
        </w:rPr>
        <w:t xml:space="preserve"> </w:t>
      </w:r>
      <w:r w:rsidR="00D26DCA">
        <w:rPr>
          <w:rFonts w:ascii="Arial" w:hAnsi="Arial" w:cs="Arial"/>
          <w:sz w:val="24"/>
          <w:szCs w:val="24"/>
        </w:rPr>
        <w:t>–</w:t>
      </w:r>
      <w:r w:rsidR="00533183" w:rsidRPr="00CF619C">
        <w:rPr>
          <w:rFonts w:ascii="Arial" w:hAnsi="Arial" w:cs="Arial"/>
          <w:sz w:val="24"/>
          <w:szCs w:val="24"/>
        </w:rPr>
        <w:t xml:space="preserve"> Royal Institution of Chartered Surveyors (“RICS”)</w:t>
      </w:r>
      <w:r w:rsidR="00885A32" w:rsidRPr="00CF619C">
        <w:rPr>
          <w:rFonts w:ascii="Arial" w:hAnsi="Arial" w:cs="Arial"/>
          <w:sz w:val="24"/>
          <w:szCs w:val="24"/>
        </w:rPr>
        <w:t>”.</w:t>
      </w:r>
      <w:r w:rsidR="00CF619C" w:rsidRPr="00CF619C">
        <w:rPr>
          <w:rFonts w:ascii="Arial" w:hAnsi="Arial" w:cs="Arial"/>
          <w:sz w:val="24"/>
          <w:szCs w:val="24"/>
        </w:rPr>
        <w:t xml:space="preserve"> I have also contributed to the RICS’s </w:t>
      </w:r>
      <w:r w:rsidR="00CF619C">
        <w:rPr>
          <w:rFonts w:ascii="Arial" w:hAnsi="Arial" w:cs="Arial"/>
          <w:sz w:val="24"/>
          <w:szCs w:val="24"/>
        </w:rPr>
        <w:t>latest</w:t>
      </w:r>
      <w:r w:rsidR="00CF619C" w:rsidRPr="00CF619C">
        <w:rPr>
          <w:rFonts w:ascii="Arial" w:hAnsi="Arial" w:cs="Arial"/>
          <w:sz w:val="24"/>
          <w:szCs w:val="24"/>
        </w:rPr>
        <w:t xml:space="preserve"> draft guidance on this subject (i.e. ‘</w:t>
      </w:r>
      <w:r w:rsidR="00CF619C" w:rsidRPr="00CF619C">
        <w:rPr>
          <w:rFonts w:ascii="Arial" w:hAnsi="Arial" w:cs="Arial"/>
          <w:bCs/>
          <w:sz w:val="24"/>
          <w:szCs w:val="24"/>
        </w:rPr>
        <w:t xml:space="preserve">Assessing Financial Viability in Planning under the National Planning Policy Framework for England’) and </w:t>
      </w:r>
      <w:r w:rsidR="00CF619C">
        <w:rPr>
          <w:rFonts w:ascii="Arial" w:hAnsi="Arial" w:cs="Arial"/>
          <w:bCs/>
          <w:sz w:val="24"/>
          <w:szCs w:val="24"/>
        </w:rPr>
        <w:t>I</w:t>
      </w:r>
      <w:r w:rsidR="00CF619C" w:rsidRPr="00CF619C">
        <w:rPr>
          <w:rFonts w:ascii="Arial" w:hAnsi="Arial" w:cs="Arial"/>
          <w:bCs/>
          <w:sz w:val="24"/>
          <w:szCs w:val="24"/>
        </w:rPr>
        <w:t xml:space="preserve"> made formal representations on behalf of several clients </w:t>
      </w:r>
      <w:r w:rsidR="00CF619C">
        <w:rPr>
          <w:rFonts w:ascii="Arial" w:hAnsi="Arial" w:cs="Arial"/>
          <w:bCs/>
          <w:sz w:val="24"/>
          <w:szCs w:val="24"/>
        </w:rPr>
        <w:t xml:space="preserve">in </w:t>
      </w:r>
      <w:r w:rsidR="00C921D6">
        <w:rPr>
          <w:rFonts w:ascii="Arial" w:hAnsi="Arial" w:cs="Arial"/>
          <w:bCs/>
          <w:sz w:val="24"/>
          <w:szCs w:val="24"/>
        </w:rPr>
        <w:t>connecti</w:t>
      </w:r>
      <w:r w:rsidR="00CF619C">
        <w:rPr>
          <w:rFonts w:ascii="Arial" w:hAnsi="Arial" w:cs="Arial"/>
          <w:bCs/>
          <w:sz w:val="24"/>
          <w:szCs w:val="24"/>
        </w:rPr>
        <w:t>on with t</w:t>
      </w:r>
      <w:r w:rsidR="00CF619C" w:rsidRPr="00CF619C">
        <w:rPr>
          <w:rFonts w:ascii="Arial" w:hAnsi="Arial" w:cs="Arial"/>
          <w:bCs/>
          <w:sz w:val="24"/>
          <w:szCs w:val="24"/>
        </w:rPr>
        <w:t>he draft London Plan EIP in 2019.</w:t>
      </w:r>
    </w:p>
    <w:p w:rsidR="00201537" w:rsidRDefault="005B2D35" w:rsidP="00CF619C">
      <w:pPr>
        <w:spacing w:after="0" w:line="480" w:lineRule="auto"/>
        <w:ind w:left="142" w:hanging="709"/>
        <w:jc w:val="both"/>
        <w:rPr>
          <w:rFonts w:ascii="Arial" w:hAnsi="Arial" w:cs="Arial"/>
          <w:sz w:val="24"/>
          <w:szCs w:val="24"/>
        </w:rPr>
      </w:pPr>
      <w:r>
        <w:rPr>
          <w:rFonts w:ascii="Arial" w:hAnsi="Arial" w:cs="Arial"/>
          <w:sz w:val="24"/>
          <w:szCs w:val="24"/>
        </w:rPr>
        <w:t>1</w:t>
      </w:r>
      <w:r w:rsidR="00432FD4">
        <w:rPr>
          <w:rFonts w:ascii="Arial" w:hAnsi="Arial" w:cs="Arial"/>
          <w:sz w:val="24"/>
          <w:szCs w:val="24"/>
        </w:rPr>
        <w:t>.7</w:t>
      </w:r>
      <w:r w:rsidR="00885A32">
        <w:rPr>
          <w:rFonts w:ascii="Arial" w:hAnsi="Arial" w:cs="Arial"/>
          <w:sz w:val="24"/>
          <w:szCs w:val="24"/>
        </w:rPr>
        <w:tab/>
        <w:t>I have submitted development viability and affordable housing representation</w:t>
      </w:r>
      <w:r w:rsidR="00146389">
        <w:rPr>
          <w:rFonts w:ascii="Arial" w:hAnsi="Arial" w:cs="Arial"/>
          <w:sz w:val="24"/>
          <w:szCs w:val="24"/>
        </w:rPr>
        <w:t>s</w:t>
      </w:r>
      <w:r w:rsidR="00885A32">
        <w:rPr>
          <w:rFonts w:ascii="Arial" w:hAnsi="Arial" w:cs="Arial"/>
          <w:sz w:val="24"/>
          <w:szCs w:val="24"/>
        </w:rPr>
        <w:t xml:space="preserve"> on over </w:t>
      </w:r>
      <w:r w:rsidR="00C94D59">
        <w:rPr>
          <w:rFonts w:ascii="Arial" w:hAnsi="Arial" w:cs="Arial"/>
          <w:sz w:val="24"/>
          <w:szCs w:val="24"/>
        </w:rPr>
        <w:t>300</w:t>
      </w:r>
      <w:r w:rsidR="00885A32">
        <w:rPr>
          <w:rFonts w:ascii="Arial" w:hAnsi="Arial" w:cs="Arial"/>
          <w:sz w:val="24"/>
          <w:szCs w:val="24"/>
        </w:rPr>
        <w:t xml:space="preserve"> development proposals across England over the last 10 years for </w:t>
      </w:r>
      <w:r w:rsidR="00C94D59">
        <w:rPr>
          <w:rFonts w:ascii="Arial" w:hAnsi="Arial" w:cs="Arial"/>
          <w:sz w:val="24"/>
          <w:szCs w:val="24"/>
        </w:rPr>
        <w:t>applicants or local authorities, the majority of which have been in Greater London.</w:t>
      </w:r>
    </w:p>
    <w:p w:rsidR="00CF619C" w:rsidRDefault="00CF619C" w:rsidP="00CF619C">
      <w:pPr>
        <w:jc w:val="both"/>
        <w:rPr>
          <w:rFonts w:ascii="Arial" w:hAnsi="Arial" w:cs="Arial"/>
          <w:b/>
          <w:sz w:val="24"/>
          <w:szCs w:val="24"/>
        </w:rPr>
      </w:pPr>
      <w:r>
        <w:rPr>
          <w:rFonts w:ascii="Arial" w:hAnsi="Arial" w:cs="Arial"/>
          <w:b/>
          <w:sz w:val="24"/>
          <w:szCs w:val="24"/>
        </w:rPr>
        <w:br w:type="page"/>
      </w:r>
    </w:p>
    <w:p w:rsidR="00026672" w:rsidRDefault="005B2D35" w:rsidP="00841B26">
      <w:pPr>
        <w:spacing w:after="0" w:line="480" w:lineRule="auto"/>
        <w:ind w:left="142" w:hanging="709"/>
        <w:jc w:val="both"/>
        <w:rPr>
          <w:rFonts w:ascii="Arial" w:hAnsi="Arial" w:cs="Arial"/>
          <w:b/>
          <w:sz w:val="24"/>
          <w:szCs w:val="24"/>
        </w:rPr>
      </w:pPr>
      <w:r>
        <w:rPr>
          <w:rFonts w:ascii="Arial" w:hAnsi="Arial" w:cs="Arial"/>
          <w:b/>
          <w:sz w:val="24"/>
          <w:szCs w:val="24"/>
        </w:rPr>
        <w:lastRenderedPageBreak/>
        <w:t>2</w:t>
      </w:r>
      <w:r w:rsidR="006009A3">
        <w:rPr>
          <w:rFonts w:ascii="Arial" w:hAnsi="Arial" w:cs="Arial"/>
          <w:b/>
          <w:sz w:val="24"/>
          <w:szCs w:val="24"/>
        </w:rPr>
        <w:t>.0</w:t>
      </w:r>
      <w:r w:rsidR="006009A3">
        <w:rPr>
          <w:rFonts w:ascii="Arial" w:hAnsi="Arial" w:cs="Arial"/>
          <w:b/>
          <w:sz w:val="24"/>
          <w:szCs w:val="24"/>
        </w:rPr>
        <w:tab/>
        <w:t>Viability</w:t>
      </w:r>
      <w:r w:rsidR="00791F74">
        <w:rPr>
          <w:rFonts w:ascii="Arial" w:hAnsi="Arial" w:cs="Arial"/>
          <w:b/>
          <w:sz w:val="24"/>
          <w:szCs w:val="24"/>
        </w:rPr>
        <w:t>:-</w:t>
      </w:r>
    </w:p>
    <w:p w:rsidR="00F14417" w:rsidRDefault="005B2D35" w:rsidP="00841B26">
      <w:pPr>
        <w:spacing w:after="0" w:line="480" w:lineRule="auto"/>
        <w:ind w:left="142" w:hanging="709"/>
        <w:jc w:val="both"/>
        <w:rPr>
          <w:rFonts w:ascii="Arial" w:hAnsi="Arial" w:cs="Arial"/>
          <w:sz w:val="24"/>
          <w:szCs w:val="24"/>
        </w:rPr>
      </w:pPr>
      <w:r>
        <w:rPr>
          <w:rFonts w:ascii="Arial" w:hAnsi="Arial" w:cs="Arial"/>
          <w:sz w:val="24"/>
          <w:szCs w:val="24"/>
        </w:rPr>
        <w:t>2</w:t>
      </w:r>
      <w:r w:rsidR="00CE1327" w:rsidRPr="00CE1327">
        <w:rPr>
          <w:rFonts w:ascii="Arial" w:hAnsi="Arial" w:cs="Arial"/>
          <w:sz w:val="24"/>
          <w:szCs w:val="24"/>
        </w:rPr>
        <w:t>.1</w:t>
      </w:r>
      <w:r w:rsidR="00CE1327" w:rsidRPr="00CE1327">
        <w:rPr>
          <w:rFonts w:ascii="Arial" w:hAnsi="Arial" w:cs="Arial"/>
          <w:sz w:val="24"/>
          <w:szCs w:val="24"/>
        </w:rPr>
        <w:tab/>
      </w:r>
      <w:r w:rsidR="00F14417">
        <w:rPr>
          <w:rFonts w:ascii="Arial" w:hAnsi="Arial" w:cs="Arial"/>
          <w:sz w:val="24"/>
          <w:szCs w:val="24"/>
        </w:rPr>
        <w:t>A</w:t>
      </w:r>
      <w:r w:rsidR="00AA4E67">
        <w:rPr>
          <w:rFonts w:ascii="Arial" w:hAnsi="Arial" w:cs="Arial"/>
          <w:sz w:val="24"/>
          <w:szCs w:val="24"/>
        </w:rPr>
        <w:t xml:space="preserve"> development is viable if it </w:t>
      </w:r>
      <w:r w:rsidR="00F14417">
        <w:rPr>
          <w:rFonts w:ascii="Arial" w:hAnsi="Arial" w:cs="Arial"/>
          <w:sz w:val="24"/>
          <w:szCs w:val="24"/>
        </w:rPr>
        <w:t>drives a residual land value (allowing for a reasonable level of profit) which is at least equal to a reasonable Benchmark Land Value (“BLV”).</w:t>
      </w:r>
      <w:r w:rsidR="001A2D4A">
        <w:rPr>
          <w:rFonts w:ascii="Arial" w:hAnsi="Arial" w:cs="Arial"/>
          <w:sz w:val="24"/>
          <w:szCs w:val="24"/>
        </w:rPr>
        <w:t xml:space="preserve"> </w:t>
      </w:r>
    </w:p>
    <w:p w:rsidR="00F14417" w:rsidRPr="00185EEE" w:rsidRDefault="001A2D4A" w:rsidP="00841B26">
      <w:pPr>
        <w:spacing w:after="0" w:line="480" w:lineRule="auto"/>
        <w:ind w:left="142" w:hanging="709"/>
        <w:jc w:val="both"/>
        <w:rPr>
          <w:rFonts w:ascii="Arial" w:hAnsi="Arial" w:cs="Arial"/>
          <w:sz w:val="24"/>
          <w:szCs w:val="24"/>
        </w:rPr>
      </w:pPr>
      <w:r>
        <w:rPr>
          <w:rFonts w:ascii="Arial" w:hAnsi="Arial" w:cs="Arial"/>
          <w:sz w:val="24"/>
          <w:szCs w:val="24"/>
        </w:rPr>
        <w:t>2.2</w:t>
      </w:r>
      <w:r>
        <w:rPr>
          <w:rFonts w:ascii="Arial" w:hAnsi="Arial" w:cs="Arial"/>
          <w:sz w:val="24"/>
          <w:szCs w:val="24"/>
        </w:rPr>
        <w:tab/>
        <w:t>The viability test can be summarised as</w:t>
      </w:r>
      <w:r w:rsidR="00841B26">
        <w:rPr>
          <w:rFonts w:ascii="Arial" w:hAnsi="Arial" w:cs="Arial"/>
          <w:sz w:val="24"/>
          <w:szCs w:val="24"/>
        </w:rPr>
        <w:t>:</w:t>
      </w:r>
      <w:r w:rsidR="00185EEE" w:rsidRPr="00185EEE">
        <w:rPr>
          <w:rFonts w:ascii="Arial" w:hAnsi="Arial" w:cs="Arial"/>
          <w:sz w:val="24"/>
          <w:szCs w:val="24"/>
        </w:rPr>
        <w:t>-</w:t>
      </w:r>
    </w:p>
    <w:p w:rsidR="00185EEE" w:rsidRDefault="009B746E" w:rsidP="00185EEE">
      <w:pPr>
        <w:spacing w:after="0" w:line="480" w:lineRule="auto"/>
        <w:ind w:left="142"/>
        <w:jc w:val="center"/>
        <w:rPr>
          <w:rFonts w:ascii="Arial" w:hAnsi="Arial" w:cs="Arial"/>
          <w:i/>
          <w:sz w:val="24"/>
          <w:szCs w:val="24"/>
        </w:rPr>
      </w:pPr>
      <w:r w:rsidRPr="009B746E">
        <w:rPr>
          <w:rFonts w:ascii="Arial" w:eastAsia="Times New Roman" w:hAnsi="Arial" w:cs="Arial"/>
          <w:noProof/>
          <w:color w:val="000000"/>
          <w:sz w:val="24"/>
          <w:szCs w:val="24"/>
          <w:lang w:eastAsia="en-GB"/>
        </w:rPr>
        <mc:AlternateContent>
          <mc:Choice Requires="wpc">
            <w:drawing>
              <wp:anchor distT="0" distB="0" distL="114300" distR="114300" simplePos="0" relativeHeight="251662336" behindDoc="0" locked="0" layoutInCell="1" allowOverlap="1" wp14:anchorId="7925910E" wp14:editId="313ACFF5">
                <wp:simplePos x="0" y="0"/>
                <wp:positionH relativeFrom="character">
                  <wp:posOffset>-1944681</wp:posOffset>
                </wp:positionH>
                <wp:positionV relativeFrom="line">
                  <wp:posOffset>42497</wp:posOffset>
                </wp:positionV>
                <wp:extent cx="4686300" cy="3838128"/>
                <wp:effectExtent l="0" t="0" r="0" b="10160"/>
                <wp:wrapNone/>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Text Box 4"/>
                        <wps:cNvSpPr txBox="1">
                          <a:spLocks noChangeArrowheads="1"/>
                        </wps:cNvSpPr>
                        <wps:spPr bwMode="auto">
                          <a:xfrm>
                            <a:off x="914805" y="464"/>
                            <a:ext cx="2591716" cy="45481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BB1031"/>
                                </a:solidFill>
                              </a14:hiddenFill>
                            </a:ext>
                            <a:ext uri="{AF507438-7753-43E0-B8FC-AC1667EBCBE1}">
                              <a14:hiddenEffects xmlns:a14="http://schemas.microsoft.com/office/drawing/2010/main">
                                <a:effectLst>
                                  <a:outerShdw dist="35921" dir="2700000" algn="ctr" rotWithShape="0">
                                    <a:srgbClr val="B6BABC"/>
                                  </a:outerShdw>
                                </a:effectLst>
                              </a14:hiddenEffects>
                            </a:ext>
                          </a:extLst>
                        </wps:spPr>
                        <wps:txbx>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Built Value of proposed private residential and other uses</w:t>
                              </w:r>
                            </w:p>
                          </w:txbxContent>
                        </wps:txbx>
                        <wps:bodyPr rot="0" vert="horz" wrap="square" lIns="56116" tIns="28059" rIns="56116" bIns="28059" anchor="t" anchorCtr="0" upright="1">
                          <a:noAutofit/>
                        </wps:bodyPr>
                      </wps:wsp>
                      <wps:wsp>
                        <wps:cNvPr id="43" name="Text Box 5"/>
                        <wps:cNvSpPr txBox="1">
                          <a:spLocks noChangeArrowheads="1"/>
                        </wps:cNvSpPr>
                        <wps:spPr bwMode="auto">
                          <a:xfrm>
                            <a:off x="1257335" y="743952"/>
                            <a:ext cx="1942858" cy="450641"/>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BB1031"/>
                                </a:solidFill>
                              </a14:hiddenFill>
                            </a:ext>
                            <a:ext uri="{AF507438-7753-43E0-B8FC-AC1667EBCBE1}">
                              <a14:hiddenEffects xmlns:a14="http://schemas.microsoft.com/office/drawing/2010/main">
                                <a:effectLst>
                                  <a:outerShdw dist="35921" dir="2700000" algn="ctr" rotWithShape="0">
                                    <a:srgbClr val="B6BABC"/>
                                  </a:outerShdw>
                                </a:effectLst>
                              </a14:hiddenEffects>
                            </a:ext>
                          </a:extLst>
                        </wps:spPr>
                        <wps:txbx>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Built Value of affordable housing</w:t>
                              </w:r>
                            </w:p>
                          </w:txbxContent>
                        </wps:txbx>
                        <wps:bodyPr rot="0" vert="horz" wrap="square" lIns="56116" tIns="28059" rIns="56116" bIns="28059" anchor="t" anchorCtr="0" upright="1">
                          <a:noAutofit/>
                        </wps:bodyPr>
                      </wps:wsp>
                      <wps:wsp>
                        <wps:cNvPr id="44" name="Text Box 6"/>
                        <wps:cNvSpPr txBox="1">
                          <a:spLocks noChangeArrowheads="1"/>
                        </wps:cNvSpPr>
                        <wps:spPr bwMode="auto">
                          <a:xfrm>
                            <a:off x="875818" y="1498114"/>
                            <a:ext cx="2553193" cy="5982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BB1031"/>
                                </a:solidFill>
                              </a14:hiddenFill>
                            </a:ext>
                            <a:ext uri="{AF507438-7753-43E0-B8FC-AC1667EBCBE1}">
                              <a14:hiddenEffects xmlns:a14="http://schemas.microsoft.com/office/drawing/2010/main">
                                <a:effectLst>
                                  <a:outerShdw dist="35921" dir="2700000" algn="ctr" rotWithShape="0">
                                    <a:srgbClr val="B6BABC"/>
                                  </a:outerShdw>
                                </a:effectLst>
                              </a14:hiddenEffects>
                            </a:ext>
                          </a:extLst>
                        </wps:spPr>
                        <wps:txbx>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Build Costs, finance costs, other section 106 costs, sales fees, developers’ profit etc</w:t>
                              </w:r>
                            </w:p>
                          </w:txbxContent>
                        </wps:txbx>
                        <wps:bodyPr rot="0" vert="horz" wrap="square" lIns="56116" tIns="28059" rIns="56116" bIns="28059" anchor="t" anchorCtr="0" upright="1">
                          <a:noAutofit/>
                        </wps:bodyPr>
                      </wps:wsp>
                      <wps:wsp>
                        <wps:cNvPr id="45" name="Text Box 7"/>
                        <wps:cNvSpPr txBox="1">
                          <a:spLocks noChangeArrowheads="1"/>
                        </wps:cNvSpPr>
                        <wps:spPr bwMode="auto">
                          <a:xfrm>
                            <a:off x="1446701" y="2081498"/>
                            <a:ext cx="1532092" cy="400288"/>
                          </a:xfrm>
                          <a:prstGeom prst="rect">
                            <a:avLst/>
                          </a:prstGeom>
                          <a:noFill/>
                          <a:ln>
                            <a:noFill/>
                          </a:ln>
                          <a:effectLst/>
                          <a:extLst>
                            <a:ext uri="{909E8E84-426E-40DD-AFC4-6F175D3DCCD1}">
                              <a14:hiddenFill xmlns:a14="http://schemas.microsoft.com/office/drawing/2010/main">
                                <a:solidFill>
                                  <a:srgbClr val="BB1031"/>
                                </a:solidFill>
                              </a14:hiddenFill>
                            </a:ext>
                            <a:ext uri="{91240B29-F687-4F45-9708-019B960494DF}">
                              <a14:hiddenLine xmlns:a14="http://schemas.microsoft.com/office/drawing/2010/main" w="12700">
                                <a:solidFill>
                                  <a:srgbClr val="4C5154"/>
                                </a:solidFill>
                                <a:miter lim="800000"/>
                                <a:headEnd/>
                                <a:tailEnd/>
                              </a14:hiddenLine>
                            </a:ext>
                            <a:ext uri="{AF507438-7753-43E0-B8FC-AC1667EBCBE1}">
                              <a14:hiddenEffects xmlns:a14="http://schemas.microsoft.com/office/drawing/2010/main">
                                <a:effectLst/>
                              </a14:hiddenEffects>
                            </a:ext>
                          </a:extLst>
                        </wps:spPr>
                        <wps:txbx>
                          <w:txbxContent>
                            <w:p w:rsidR="0081385C" w:rsidRDefault="0081385C" w:rsidP="009B746E">
                              <w:pPr>
                                <w:autoSpaceDE w:val="0"/>
                                <w:autoSpaceDN w:val="0"/>
                                <w:adjustRightInd w:val="0"/>
                                <w:jc w:val="center"/>
                                <w:rPr>
                                  <w:rFonts w:eastAsia="MS PGothic" w:cs="Arial"/>
                                  <w:b/>
                                  <w:bCs/>
                                  <w:color w:val="000000"/>
                                  <w:sz w:val="29"/>
                                  <w:szCs w:val="48"/>
                                </w:rPr>
                              </w:pPr>
                              <w:r>
                                <w:rPr>
                                  <w:rFonts w:eastAsia="MS PGothic" w:cs="Arial"/>
                                  <w:b/>
                                  <w:bCs/>
                                  <w:color w:val="000000"/>
                                  <w:sz w:val="29"/>
                                  <w:szCs w:val="48"/>
                                </w:rPr>
                                <w:t>=</w:t>
                              </w:r>
                            </w:p>
                          </w:txbxContent>
                        </wps:txbx>
                        <wps:bodyPr rot="0" vert="horz" wrap="square" lIns="56116" tIns="28059" rIns="56116" bIns="28059" anchor="t" anchorCtr="0" upright="1">
                          <a:spAutoFit/>
                        </wps:bodyPr>
                      </wps:wsp>
                      <wps:wsp>
                        <wps:cNvPr id="46" name="Text Box 8"/>
                        <wps:cNvSpPr txBox="1">
                          <a:spLocks noChangeArrowheads="1"/>
                        </wps:cNvSpPr>
                        <wps:spPr bwMode="auto">
                          <a:xfrm>
                            <a:off x="1099994" y="2374219"/>
                            <a:ext cx="2164552" cy="34377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BB1031"/>
                                </a:solidFill>
                              </a14:hiddenFill>
                            </a:ext>
                            <a:ext uri="{AF507438-7753-43E0-B8FC-AC1667EBCBE1}">
                              <a14:hiddenEffects xmlns:a14="http://schemas.microsoft.com/office/drawing/2010/main">
                                <a:effectLst>
                                  <a:outerShdw dist="35921" dir="2700000" algn="ctr" rotWithShape="0">
                                    <a:srgbClr val="B6BABC"/>
                                  </a:outerShdw>
                                </a:effectLst>
                              </a14:hiddenEffects>
                            </a:ext>
                          </a:extLst>
                        </wps:spPr>
                        <wps:txbx>
                          <w:txbxContent>
                            <w:p w:rsidR="0081385C" w:rsidRPr="00755F55" w:rsidRDefault="0081385C" w:rsidP="009B746E">
                              <w:pPr>
                                <w:autoSpaceDE w:val="0"/>
                                <w:autoSpaceDN w:val="0"/>
                                <w:adjustRightInd w:val="0"/>
                                <w:jc w:val="center"/>
                                <w:rPr>
                                  <w:rFonts w:ascii="Arial" w:eastAsia="MS PGothic" w:hAnsi="Arial" w:cs="Arial"/>
                                  <w:b/>
                                  <w:bCs/>
                                  <w:color w:val="00B050"/>
                                  <w:szCs w:val="32"/>
                                </w:rPr>
                              </w:pPr>
                              <w:r>
                                <w:rPr>
                                  <w:rFonts w:ascii="Arial" w:eastAsia="MS PGothic" w:hAnsi="Arial" w:cs="Arial"/>
                                  <w:bCs/>
                                  <w:color w:val="000000"/>
                                  <w:szCs w:val="32"/>
                                </w:rPr>
                                <w:t xml:space="preserve">Residual Land Value </w:t>
                              </w:r>
                              <w:r w:rsidRPr="00755F55">
                                <w:rPr>
                                  <w:rFonts w:ascii="Arial" w:eastAsia="MS PGothic" w:hAnsi="Arial" w:cs="Arial"/>
                                  <w:b/>
                                  <w:bCs/>
                                  <w:color w:val="00B050"/>
                                  <w:szCs w:val="32"/>
                                </w:rPr>
                                <w:t>(“RLV”)</w:t>
                              </w:r>
                            </w:p>
                          </w:txbxContent>
                        </wps:txbx>
                        <wps:bodyPr rot="0" vert="horz" wrap="square" lIns="56116" tIns="28059" rIns="56116" bIns="28059" anchor="t" anchorCtr="0" upright="1">
                          <a:spAutoFit/>
                        </wps:bodyPr>
                      </wps:wsp>
                      <wps:wsp>
                        <wps:cNvPr id="47" name="Text Box 9"/>
                        <wps:cNvSpPr txBox="1">
                          <a:spLocks noChangeArrowheads="1"/>
                        </wps:cNvSpPr>
                        <wps:spPr bwMode="auto">
                          <a:xfrm>
                            <a:off x="151429" y="2902886"/>
                            <a:ext cx="4303867" cy="690483"/>
                          </a:xfrm>
                          <a:prstGeom prst="rect">
                            <a:avLst/>
                          </a:prstGeom>
                          <a:solidFill>
                            <a:srgbClr val="FFFF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B6BABC"/>
                                  </a:outerShdw>
                                </a:effectLst>
                              </a14:hiddenEffects>
                            </a:ext>
                          </a:extLst>
                        </wps:spPr>
                        <wps:txbx>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 xml:space="preserve">RLV is then compared to a </w:t>
                              </w:r>
                              <w:r w:rsidRPr="00C921D6">
                                <w:rPr>
                                  <w:rFonts w:ascii="Arial" w:eastAsia="MS PGothic" w:hAnsi="Arial" w:cs="Arial"/>
                                  <w:b/>
                                  <w:bCs/>
                                  <w:color w:val="FF0000"/>
                                  <w:szCs w:val="32"/>
                                </w:rPr>
                                <w:t>Benchmark Land Value (‘BLV’)</w:t>
                              </w:r>
                              <w:r>
                                <w:rPr>
                                  <w:rFonts w:ascii="Arial" w:eastAsia="MS PGothic" w:hAnsi="Arial" w:cs="Arial"/>
                                  <w:bCs/>
                                  <w:color w:val="000000"/>
                                  <w:szCs w:val="32"/>
                                </w:rPr>
                                <w:t>. If RLV is lower and/or not sufficiently higher than the BLV</w:t>
                              </w:r>
                              <w:r w:rsidRPr="002E23E8">
                                <w:rPr>
                                  <w:rFonts w:ascii="Arial" w:eastAsia="MS PGothic" w:hAnsi="Arial" w:cs="Arial"/>
                                  <w:bCs/>
                                  <w:color w:val="000000" w:themeColor="text1"/>
                                  <w:szCs w:val="32"/>
                                </w:rPr>
                                <w:t xml:space="preserve"> </w:t>
                              </w:r>
                              <w:r>
                                <w:rPr>
                                  <w:rFonts w:ascii="Arial" w:eastAsia="MS PGothic" w:hAnsi="Arial" w:cs="Arial"/>
                                  <w:bCs/>
                                  <w:color w:val="000000"/>
                                  <w:szCs w:val="32"/>
                                </w:rPr>
                                <w:t>– project is not technically viable</w:t>
                              </w:r>
                            </w:p>
                          </w:txbxContent>
                        </wps:txbx>
                        <wps:bodyPr rot="0" vert="horz" wrap="square" lIns="56116" tIns="28059" rIns="56116" bIns="28059" anchor="t" anchorCtr="0" upright="1">
                          <a:spAutoFit/>
                        </wps:bodyPr>
                      </wps:wsp>
                      <wps:wsp>
                        <wps:cNvPr id="48" name="Text Box 10"/>
                        <wps:cNvSpPr txBox="1">
                          <a:spLocks noChangeArrowheads="1"/>
                        </wps:cNvSpPr>
                        <wps:spPr bwMode="auto">
                          <a:xfrm>
                            <a:off x="2057499" y="1080344"/>
                            <a:ext cx="333212" cy="534273"/>
                          </a:xfrm>
                          <a:prstGeom prst="rect">
                            <a:avLst/>
                          </a:prstGeom>
                          <a:noFill/>
                          <a:ln>
                            <a:noFill/>
                          </a:ln>
                          <a:effectLst/>
                          <a:extLst>
                            <a:ext uri="{909E8E84-426E-40DD-AFC4-6F175D3DCCD1}">
                              <a14:hiddenFill xmlns:a14="http://schemas.microsoft.com/office/drawing/2010/main">
                                <a:solidFill>
                                  <a:srgbClr val="BB1031"/>
                                </a:solidFill>
                              </a14:hiddenFill>
                            </a:ext>
                            <a:ext uri="{91240B29-F687-4F45-9708-019B960494DF}">
                              <a14:hiddenLine xmlns:a14="http://schemas.microsoft.com/office/drawing/2010/main" w="12700">
                                <a:solidFill>
                                  <a:srgbClr val="4C5154"/>
                                </a:solidFill>
                                <a:miter lim="800000"/>
                                <a:headEnd/>
                                <a:tailEnd/>
                              </a14:hiddenLine>
                            </a:ext>
                            <a:ext uri="{AF507438-7753-43E0-B8FC-AC1667EBCBE1}">
                              <a14:hiddenEffects xmlns:a14="http://schemas.microsoft.com/office/drawing/2010/main">
                                <a:effectLst/>
                              </a14:hiddenEffects>
                            </a:ext>
                          </a:extLst>
                        </wps:spPr>
                        <wps:txbx>
                          <w:txbxContent>
                            <w:p w:rsidR="0081385C" w:rsidRDefault="0081385C" w:rsidP="009B746E">
                              <w:pPr>
                                <w:autoSpaceDE w:val="0"/>
                                <w:autoSpaceDN w:val="0"/>
                                <w:adjustRightInd w:val="0"/>
                                <w:jc w:val="center"/>
                                <w:rPr>
                                  <w:rFonts w:eastAsia="MS PGothic" w:cs="Arial"/>
                                  <w:b/>
                                  <w:bCs/>
                                  <w:color w:val="000000"/>
                                  <w:sz w:val="45"/>
                                  <w:szCs w:val="72"/>
                                </w:rPr>
                              </w:pPr>
                              <w:r>
                                <w:rPr>
                                  <w:rFonts w:eastAsia="MS PGothic" w:cs="Arial"/>
                                  <w:b/>
                                  <w:bCs/>
                                  <w:color w:val="000000"/>
                                  <w:sz w:val="45"/>
                                  <w:szCs w:val="72"/>
                                </w:rPr>
                                <w:t>-</w:t>
                              </w:r>
                            </w:p>
                          </w:txbxContent>
                        </wps:txbx>
                        <wps:bodyPr rot="0" vert="horz" wrap="square" lIns="56116" tIns="28059" rIns="56116" bIns="28059" anchor="t" anchorCtr="0" upright="1">
                          <a:spAutoFit/>
                        </wps:bodyPr>
                      </wps:wsp>
                      <wps:wsp>
                        <wps:cNvPr id="49" name="Text Box 11"/>
                        <wps:cNvSpPr txBox="1">
                          <a:spLocks noChangeArrowheads="1"/>
                        </wps:cNvSpPr>
                        <wps:spPr bwMode="auto">
                          <a:xfrm>
                            <a:off x="2095558" y="455073"/>
                            <a:ext cx="334482" cy="400288"/>
                          </a:xfrm>
                          <a:prstGeom prst="rect">
                            <a:avLst/>
                          </a:prstGeom>
                          <a:noFill/>
                          <a:ln>
                            <a:noFill/>
                          </a:ln>
                          <a:effectLst/>
                          <a:extLst>
                            <a:ext uri="{909E8E84-426E-40DD-AFC4-6F175D3DCCD1}">
                              <a14:hiddenFill xmlns:a14="http://schemas.microsoft.com/office/drawing/2010/main">
                                <a:solidFill>
                                  <a:srgbClr val="BB1031"/>
                                </a:solidFill>
                              </a14:hiddenFill>
                            </a:ext>
                            <a:ext uri="{91240B29-F687-4F45-9708-019B960494DF}">
                              <a14:hiddenLine xmlns:a14="http://schemas.microsoft.com/office/drawing/2010/main" w="12700">
                                <a:solidFill>
                                  <a:srgbClr val="4C5154"/>
                                </a:solidFill>
                                <a:miter lim="800000"/>
                                <a:headEnd/>
                                <a:tailEnd/>
                              </a14:hiddenLine>
                            </a:ext>
                            <a:ext uri="{AF507438-7753-43E0-B8FC-AC1667EBCBE1}">
                              <a14:hiddenEffects xmlns:a14="http://schemas.microsoft.com/office/drawing/2010/main">
                                <a:effectLst/>
                              </a14:hiddenEffects>
                            </a:ext>
                          </a:extLst>
                        </wps:spPr>
                        <wps:txbx>
                          <w:txbxContent>
                            <w:p w:rsidR="0081385C" w:rsidRDefault="0081385C" w:rsidP="009B746E">
                              <w:pPr>
                                <w:autoSpaceDE w:val="0"/>
                                <w:autoSpaceDN w:val="0"/>
                                <w:adjustRightInd w:val="0"/>
                                <w:jc w:val="center"/>
                                <w:rPr>
                                  <w:rFonts w:eastAsia="MS PGothic" w:cs="Arial"/>
                                  <w:b/>
                                  <w:bCs/>
                                  <w:color w:val="000000"/>
                                  <w:sz w:val="29"/>
                                  <w:szCs w:val="48"/>
                                </w:rPr>
                              </w:pPr>
                              <w:r>
                                <w:rPr>
                                  <w:rFonts w:eastAsia="MS PGothic" w:cs="Arial"/>
                                  <w:b/>
                                  <w:bCs/>
                                  <w:color w:val="000000"/>
                                  <w:sz w:val="29"/>
                                  <w:szCs w:val="48"/>
                                </w:rPr>
                                <w:t>+</w:t>
                              </w:r>
                            </w:p>
                          </w:txbxContent>
                        </wps:txbx>
                        <wps:bodyPr rot="0" vert="horz" wrap="square" lIns="56116" tIns="28059" rIns="56116" bIns="28059"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925910E" id="Canvas 50" o:spid="_x0000_s1026" editas="canvas" style="position:absolute;margin-left:-153.1pt;margin-top:3.35pt;width:369pt;height:302.2pt;z-index:251662336;mso-position-horizontal-relative:char;mso-position-vertical-relative:line" coordsize="46863,3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3837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148;top:4;width:25917;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3NMEA&#10;AADbAAAADwAAAGRycy9kb3ducmV2LnhtbESPQYvCMBSE7wv+h/AEb2uiiEo1iggLuje1IN4ezbMt&#10;Ni81yWr995uFBY/DzHzDLNedbcSDfKgdaxgNFQjiwpmaSw356etzDiJEZIONY9LwogDrVe9jiZlx&#10;Tz7Q4xhLkSAcMtRQxdhmUoaiIoth6Fri5F2dtxiT9KU0Hp8Jbhs5VmoqLdacFipsaVtRcTv+WA2x&#10;Ps2+vcrnbqLu+3Oh2ryRF60H/W6zABGpi+/wf3tnNEzG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NzTBAAAA2wAAAA8AAAAAAAAAAAAAAAAAmAIAAGRycy9kb3du&#10;cmV2LnhtbFBLBQYAAAAABAAEAPUAAACGAwAAAAA=&#10;" filled="f" fillcolor="#bb1031" strokeweight="1pt">
                  <v:shadow color="#b6babc"/>
                  <v:textbox inset="1.55878mm,.77942mm,1.55878mm,.77942mm">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Built Value of proposed private residential and other uses</w:t>
                        </w:r>
                      </w:p>
                    </w:txbxContent>
                  </v:textbox>
                </v:shape>
                <v:shape id="Text Box 5" o:spid="_x0000_s1029" type="#_x0000_t202" style="position:absolute;left:12573;top:7439;width:19428;height:4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Sr8IA&#10;AADbAAAADwAAAGRycy9kb3ducmV2LnhtbESPQWsCMRSE74L/ITzBmyZaUVmNUoRC9VZdKL09Ns/d&#10;xc3LNkl1/fdGKHgcZuYbZr3tbCOu5EPtWMNkrEAQF87UXGrITx+jJYgQkQ02jknDnQJsN/3eGjPj&#10;bvxF12MsRYJwyFBDFWObSRmKiiyGsWuJk3d23mJM0pfSeLwluG3kVKm5tFhzWqiwpV1FxeX4ZzXE&#10;+rQ4eJUv3Uz97r8L1eaN/NF6OOjeVyAidfEV/m9/Gg2zN3h+S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ZKvwgAAANsAAAAPAAAAAAAAAAAAAAAAAJgCAABkcnMvZG93&#10;bnJldi54bWxQSwUGAAAAAAQABAD1AAAAhwMAAAAA&#10;" filled="f" fillcolor="#bb1031" strokeweight="1pt">
                  <v:shadow color="#b6babc"/>
                  <v:textbox inset="1.55878mm,.77942mm,1.55878mm,.77942mm">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Built Value of affordable housing</w:t>
                        </w:r>
                      </w:p>
                    </w:txbxContent>
                  </v:textbox>
                </v:shape>
                <v:shape id="Text Box 6" o:spid="_x0000_s1030" type="#_x0000_t202" style="position:absolute;left:8758;top:14981;width:25532;height: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K28IA&#10;AADbAAAADwAAAGRycy9kb3ducmV2LnhtbESPQWsCMRSE7wX/Q3hCbzWxLLqsRpFCQXtTF8TbY/Pc&#10;Xdy8rEmq23/fFAoeh5n5hlmuB9uJO/nQOtYwnSgQxJUzLdcayuPnWw4iRGSDnWPS8EMB1qvRyxIL&#10;4x68p/sh1iJBOBSooYmxL6QMVUMWw8T1xMm7OG8xJulraTw+Etx28l2pmbTYclposKePhqrr4dtq&#10;iO1x/uVVmbtM3XanSvVlJ89av46HzQJEpCE+w//trdGQZfD3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ArbwgAAANsAAAAPAAAAAAAAAAAAAAAAAJgCAABkcnMvZG93&#10;bnJldi54bWxQSwUGAAAAAAQABAD1AAAAhwMAAAAA&#10;" filled="f" fillcolor="#bb1031" strokeweight="1pt">
                  <v:shadow color="#b6babc"/>
                  <v:textbox inset="1.55878mm,.77942mm,1.55878mm,.77942mm">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Build Costs, finance costs, other section 106 costs, sales fees, developers’ profit etc</w:t>
                        </w:r>
                      </w:p>
                    </w:txbxContent>
                  </v:textbox>
                </v:shape>
                <v:shape id="Text Box 7" o:spid="_x0000_s1031" type="#_x0000_t202" style="position:absolute;left:14467;top:20814;width:15320;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R1cIA&#10;AADbAAAADwAAAGRycy9kb3ducmV2LnhtbESPQWvCQBSE74L/YXlCb7pRaluiq2hF9FZM6/2ZfU1S&#10;s2/D7tbEf+8KgsdhZr5h5svO1OJCzleWFYxHCQji3OqKCwU/39vhBwgfkDXWlknBlTwsF/3eHFNt&#10;Wz7QJQuFiBD2KSooQ2hSKX1ekkE/sg1x9H6tMxiidIXUDtsIN7WcJMmbNFhxXCixoc+S8nP2bxSc&#10;8s3+q73KqdmFTYfn4+nPrd+Vehl0qxmIQF14hh/tvVbwOoX7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NHVwgAAANsAAAAPAAAAAAAAAAAAAAAAAJgCAABkcnMvZG93&#10;bnJldi54bWxQSwUGAAAAAAQABAD1AAAAhwMAAAAA&#10;" filled="f" fillcolor="#bb1031" stroked="f" strokecolor="#4c5154" strokeweight="1pt">
                  <v:textbox style="mso-fit-shape-to-text:t" inset="1.55878mm,.77942mm,1.55878mm,.77942mm">
                    <w:txbxContent>
                      <w:p w:rsidR="0081385C" w:rsidRDefault="0081385C" w:rsidP="009B746E">
                        <w:pPr>
                          <w:autoSpaceDE w:val="0"/>
                          <w:autoSpaceDN w:val="0"/>
                          <w:adjustRightInd w:val="0"/>
                          <w:jc w:val="center"/>
                          <w:rPr>
                            <w:rFonts w:eastAsia="MS PGothic" w:cs="Arial"/>
                            <w:b/>
                            <w:bCs/>
                            <w:color w:val="000000"/>
                            <w:sz w:val="29"/>
                            <w:szCs w:val="48"/>
                          </w:rPr>
                        </w:pPr>
                        <w:r>
                          <w:rPr>
                            <w:rFonts w:eastAsia="MS PGothic" w:cs="Arial"/>
                            <w:b/>
                            <w:bCs/>
                            <w:color w:val="000000"/>
                            <w:sz w:val="29"/>
                            <w:szCs w:val="48"/>
                          </w:rPr>
                          <w:t>=</w:t>
                        </w:r>
                      </w:p>
                    </w:txbxContent>
                  </v:textbox>
                </v:shape>
                <v:shape id="Text Box 8" o:spid="_x0000_s1032" type="#_x0000_t202" style="position:absolute;left:10999;top:23742;width:2164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iMQA&#10;AADbAAAADwAAAGRycy9kb3ducmV2LnhtbESPQWsCMRSE74X+h/CE3mpWKSpb4yKVBaknbcEeX5PX&#10;3ejmZdnEdfvvjVDocZiZb5hlMbhG9NQF61nBZJyBINbeWK4UfH6UzwsQISIbbDyTgl8KUKweH5aY&#10;G3/lPfWHWIkE4ZCjgjrGNpcy6JochrFviZP34zuHMcmukqbDa4K7Rk6zbCYdWk4LNbb0VpM+Hy5O&#10;wZc+2VJvvtvs2F/6k93O38NurtTTaFi/gog0xP/wX3trFLzM4P4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RojEAAAA2wAAAA8AAAAAAAAAAAAAAAAAmAIAAGRycy9k&#10;b3ducmV2LnhtbFBLBQYAAAAABAAEAPUAAACJAwAAAAA=&#10;" filled="f" fillcolor="#bb1031" strokeweight="1pt">
                  <v:shadow color="#b6babc"/>
                  <v:textbox style="mso-fit-shape-to-text:t" inset="1.55878mm,.77942mm,1.55878mm,.77942mm">
                    <w:txbxContent>
                      <w:p w:rsidR="0081385C" w:rsidRPr="00755F55" w:rsidRDefault="0081385C" w:rsidP="009B746E">
                        <w:pPr>
                          <w:autoSpaceDE w:val="0"/>
                          <w:autoSpaceDN w:val="0"/>
                          <w:adjustRightInd w:val="0"/>
                          <w:jc w:val="center"/>
                          <w:rPr>
                            <w:rFonts w:ascii="Arial" w:eastAsia="MS PGothic" w:hAnsi="Arial" w:cs="Arial"/>
                            <w:b/>
                            <w:bCs/>
                            <w:color w:val="00B050"/>
                            <w:szCs w:val="32"/>
                          </w:rPr>
                        </w:pPr>
                        <w:r>
                          <w:rPr>
                            <w:rFonts w:ascii="Arial" w:eastAsia="MS PGothic" w:hAnsi="Arial" w:cs="Arial"/>
                            <w:bCs/>
                            <w:color w:val="000000"/>
                            <w:szCs w:val="32"/>
                          </w:rPr>
                          <w:t xml:space="preserve">Residual Land Value </w:t>
                        </w:r>
                        <w:r w:rsidRPr="00755F55">
                          <w:rPr>
                            <w:rFonts w:ascii="Arial" w:eastAsia="MS PGothic" w:hAnsi="Arial" w:cs="Arial"/>
                            <w:b/>
                            <w:bCs/>
                            <w:color w:val="00B050"/>
                            <w:szCs w:val="32"/>
                          </w:rPr>
                          <w:t>(“RLV”)</w:t>
                        </w:r>
                      </w:p>
                    </w:txbxContent>
                  </v:textbox>
                </v:shape>
                <v:shape id="Text Box 9" o:spid="_x0000_s1033" type="#_x0000_t202" style="position:absolute;left:1514;top:29028;width:43038;height:6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hH8UA&#10;AADbAAAADwAAAGRycy9kb3ducmV2LnhtbESPQUvDQBSE74L/YXmCF2k3Fqlt7LaItODBi7XQHh+7&#10;r0k0+zZkX5PUX+8KhR6HmfmGWawGX6uO2lgFNvA4zkAR2+AqLgzsvjajGagoyA7rwGTgTBFWy9ub&#10;BeYu9PxJ3VYKlSAcczRQijS51tGW5DGOQ0OcvGNoPUqSbaFdi32C+1pPsmyqPVacFkps6K0k+7M9&#10;eQP9+eGw03z6kP1m/buXb3uYd9aY+7vh9QWU0CDX8KX97gw8PcP/l/Q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WEfxQAAANsAAAAPAAAAAAAAAAAAAAAAAJgCAABkcnMv&#10;ZG93bnJldi54bWxQSwUGAAAAAAQABAD1AAAAigMAAAAA&#10;" fillcolor="yellow" strokeweight="1pt">
                  <v:shadow color="#b6babc"/>
                  <v:textbox style="mso-fit-shape-to-text:t" inset="1.55878mm,.77942mm,1.55878mm,.77942mm">
                    <w:txbxContent>
                      <w:p w:rsidR="0081385C" w:rsidRDefault="0081385C" w:rsidP="009B746E">
                        <w:pPr>
                          <w:autoSpaceDE w:val="0"/>
                          <w:autoSpaceDN w:val="0"/>
                          <w:adjustRightInd w:val="0"/>
                          <w:jc w:val="center"/>
                          <w:rPr>
                            <w:rFonts w:ascii="Arial" w:eastAsia="MS PGothic" w:hAnsi="Arial" w:cs="Arial"/>
                            <w:bCs/>
                            <w:color w:val="000000"/>
                            <w:szCs w:val="32"/>
                          </w:rPr>
                        </w:pPr>
                        <w:r>
                          <w:rPr>
                            <w:rFonts w:ascii="Arial" w:eastAsia="MS PGothic" w:hAnsi="Arial" w:cs="Arial"/>
                            <w:bCs/>
                            <w:color w:val="000000"/>
                            <w:szCs w:val="32"/>
                          </w:rPr>
                          <w:t xml:space="preserve">RLV is then compared to a </w:t>
                        </w:r>
                        <w:r w:rsidRPr="00C921D6">
                          <w:rPr>
                            <w:rFonts w:ascii="Arial" w:eastAsia="MS PGothic" w:hAnsi="Arial" w:cs="Arial"/>
                            <w:b/>
                            <w:bCs/>
                            <w:color w:val="FF0000"/>
                            <w:szCs w:val="32"/>
                          </w:rPr>
                          <w:t>Benchmark Land Value (‘BLV’)</w:t>
                        </w:r>
                        <w:r>
                          <w:rPr>
                            <w:rFonts w:ascii="Arial" w:eastAsia="MS PGothic" w:hAnsi="Arial" w:cs="Arial"/>
                            <w:bCs/>
                            <w:color w:val="000000"/>
                            <w:szCs w:val="32"/>
                          </w:rPr>
                          <w:t>. If RLV is lower and/or not sufficiently higher than the BLV</w:t>
                        </w:r>
                        <w:r w:rsidRPr="002E23E8">
                          <w:rPr>
                            <w:rFonts w:ascii="Arial" w:eastAsia="MS PGothic" w:hAnsi="Arial" w:cs="Arial"/>
                            <w:bCs/>
                            <w:color w:val="000000" w:themeColor="text1"/>
                            <w:szCs w:val="32"/>
                          </w:rPr>
                          <w:t xml:space="preserve"> </w:t>
                        </w:r>
                        <w:r>
                          <w:rPr>
                            <w:rFonts w:ascii="Arial" w:eastAsia="MS PGothic" w:hAnsi="Arial" w:cs="Arial"/>
                            <w:bCs/>
                            <w:color w:val="000000"/>
                            <w:szCs w:val="32"/>
                          </w:rPr>
                          <w:t>– project is not technically viable</w:t>
                        </w:r>
                      </w:p>
                    </w:txbxContent>
                  </v:textbox>
                </v:shape>
                <v:shape id="Text Box 10" o:spid="_x0000_s1034" type="#_x0000_t202" style="position:absolute;left:20574;top:10803;width:3333;height:5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S78A&#10;AADbAAAADwAAAGRycy9kb3ducmV2LnhtbERPyW7CMBC9V+IfrEHiBg5VWRQwiBZV5YbY7kM8JIF4&#10;HNmGhL/HB6Qen94+X7amEg9yvrSsYDhIQBBnVpecKzgefvtTED4ga6wsk4IneVguOh9zTLVteEeP&#10;fchFDGGfooIihDqV0mcFGfQDWxNH7mKdwRChy6V22MRwU8nPJBlLgyXHhgJr+ikou+3vRsE5W2+2&#10;zVOOzF9Yt3g7na/ue6JUr9uuZiACteFf/HZvtIKvODZ+iT9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X5LvwAAANsAAAAPAAAAAAAAAAAAAAAAAJgCAABkcnMvZG93bnJl&#10;di54bWxQSwUGAAAAAAQABAD1AAAAhAMAAAAA&#10;" filled="f" fillcolor="#bb1031" stroked="f" strokecolor="#4c5154" strokeweight="1pt">
                  <v:textbox style="mso-fit-shape-to-text:t" inset="1.55878mm,.77942mm,1.55878mm,.77942mm">
                    <w:txbxContent>
                      <w:p w:rsidR="0081385C" w:rsidRDefault="0081385C" w:rsidP="009B746E">
                        <w:pPr>
                          <w:autoSpaceDE w:val="0"/>
                          <w:autoSpaceDN w:val="0"/>
                          <w:adjustRightInd w:val="0"/>
                          <w:jc w:val="center"/>
                          <w:rPr>
                            <w:rFonts w:eastAsia="MS PGothic" w:cs="Arial"/>
                            <w:b/>
                            <w:bCs/>
                            <w:color w:val="000000"/>
                            <w:sz w:val="45"/>
                            <w:szCs w:val="72"/>
                          </w:rPr>
                        </w:pPr>
                        <w:r>
                          <w:rPr>
                            <w:rFonts w:eastAsia="MS PGothic" w:cs="Arial"/>
                            <w:b/>
                            <w:bCs/>
                            <w:color w:val="000000"/>
                            <w:sz w:val="45"/>
                            <w:szCs w:val="72"/>
                          </w:rPr>
                          <w:t>-</w:t>
                        </w:r>
                      </w:p>
                    </w:txbxContent>
                  </v:textbox>
                </v:shape>
                <v:shape id="Text Box 11" o:spid="_x0000_s1035" type="#_x0000_t202" style="position:absolute;left:20955;top:4550;width:3345;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b0MMA&#10;AADbAAAADwAAAGRycy9kb3ducmV2LnhtbESPzW7CMBCE70h9B2srcQOnqPQnxUGlCMENlcJ9ibdJ&#10;mngd2YaEt8eVkDiOZuYbzWzem0acyfnKsoKncQKCOLe64kLB/mc1egPhA7LGxjIpuJCHefYwmGGq&#10;bcffdN6FQkQI+xQVlCG0qZQ+L8mgH9uWOHq/1hkMUbpCaoddhJtGTpLkRRqsOC6U2NJXSXm9OxkF&#10;x3y52XYXOTXrsOyxPhz/3OJVqeFj//kBIlAf7uFbe6MVPL/D/5f4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Hb0MMAAADbAAAADwAAAAAAAAAAAAAAAACYAgAAZHJzL2Rv&#10;d25yZXYueG1sUEsFBgAAAAAEAAQA9QAAAIgDAAAAAA==&#10;" filled="f" fillcolor="#bb1031" stroked="f" strokecolor="#4c5154" strokeweight="1pt">
                  <v:textbox style="mso-fit-shape-to-text:t" inset="1.55878mm,.77942mm,1.55878mm,.77942mm">
                    <w:txbxContent>
                      <w:p w:rsidR="0081385C" w:rsidRDefault="0081385C" w:rsidP="009B746E">
                        <w:pPr>
                          <w:autoSpaceDE w:val="0"/>
                          <w:autoSpaceDN w:val="0"/>
                          <w:adjustRightInd w:val="0"/>
                          <w:jc w:val="center"/>
                          <w:rPr>
                            <w:rFonts w:eastAsia="MS PGothic" w:cs="Arial"/>
                            <w:b/>
                            <w:bCs/>
                            <w:color w:val="000000"/>
                            <w:sz w:val="29"/>
                            <w:szCs w:val="48"/>
                          </w:rPr>
                        </w:pPr>
                        <w:r>
                          <w:rPr>
                            <w:rFonts w:eastAsia="MS PGothic" w:cs="Arial"/>
                            <w:b/>
                            <w:bCs/>
                            <w:color w:val="000000"/>
                            <w:sz w:val="29"/>
                            <w:szCs w:val="48"/>
                          </w:rPr>
                          <w:t>+</w:t>
                        </w:r>
                      </w:p>
                    </w:txbxContent>
                  </v:textbox>
                </v:shape>
                <w10:wrap anchory="line"/>
              </v:group>
            </w:pict>
          </mc:Fallback>
        </mc:AlternateContent>
      </w:r>
    </w:p>
    <w:p w:rsidR="009B3282" w:rsidRDefault="009B3282">
      <w:pPr>
        <w:rPr>
          <w:rFonts w:ascii="Arial" w:hAnsi="Arial" w:cs="Arial"/>
          <w:b/>
          <w:sz w:val="24"/>
          <w:szCs w:val="24"/>
        </w:rPr>
      </w:pPr>
      <w:r>
        <w:rPr>
          <w:rFonts w:ascii="Arial" w:hAnsi="Arial" w:cs="Arial"/>
          <w:b/>
          <w:sz w:val="24"/>
          <w:szCs w:val="24"/>
        </w:rPr>
        <w:br w:type="page"/>
      </w:r>
    </w:p>
    <w:p w:rsidR="00036C23" w:rsidRPr="008A3328" w:rsidRDefault="003D6B65" w:rsidP="008A3328">
      <w:pPr>
        <w:spacing w:after="0" w:line="480" w:lineRule="auto"/>
        <w:ind w:left="142" w:hanging="709"/>
        <w:contextualSpacing/>
        <w:rPr>
          <w:rFonts w:ascii="Arial" w:hAnsi="Arial" w:cs="Arial"/>
          <w:b/>
          <w:sz w:val="24"/>
          <w:szCs w:val="24"/>
        </w:rPr>
      </w:pPr>
      <w:r w:rsidRPr="008A3328">
        <w:rPr>
          <w:rFonts w:ascii="Arial" w:hAnsi="Arial" w:cs="Arial"/>
          <w:b/>
          <w:sz w:val="24"/>
          <w:szCs w:val="24"/>
        </w:rPr>
        <w:lastRenderedPageBreak/>
        <w:t>3</w:t>
      </w:r>
      <w:r w:rsidR="005D29A3" w:rsidRPr="008A3328">
        <w:rPr>
          <w:rFonts w:ascii="Arial" w:hAnsi="Arial" w:cs="Arial"/>
          <w:b/>
          <w:sz w:val="24"/>
          <w:szCs w:val="24"/>
        </w:rPr>
        <w:t>.0</w:t>
      </w:r>
      <w:r w:rsidR="005D29A3" w:rsidRPr="008A3328">
        <w:rPr>
          <w:rFonts w:ascii="Arial" w:hAnsi="Arial" w:cs="Arial"/>
          <w:b/>
          <w:sz w:val="24"/>
          <w:szCs w:val="24"/>
        </w:rPr>
        <w:tab/>
      </w:r>
      <w:r w:rsidR="00036C23" w:rsidRPr="008A3328">
        <w:rPr>
          <w:rFonts w:ascii="Arial" w:hAnsi="Arial" w:cs="Arial"/>
          <w:b/>
          <w:sz w:val="24"/>
          <w:szCs w:val="24"/>
        </w:rPr>
        <w:t>Background:-</w:t>
      </w:r>
    </w:p>
    <w:p w:rsidR="00406635" w:rsidRDefault="00CF229A" w:rsidP="00406635">
      <w:pPr>
        <w:spacing w:after="0" w:line="480" w:lineRule="auto"/>
        <w:ind w:left="142" w:hanging="709"/>
        <w:jc w:val="both"/>
        <w:rPr>
          <w:rFonts w:ascii="Arial" w:eastAsia="Times New Roman" w:hAnsi="Arial" w:cs="Arial"/>
          <w:color w:val="000000"/>
          <w:sz w:val="24"/>
          <w:szCs w:val="24"/>
          <w:lang w:eastAsia="en-GB"/>
        </w:rPr>
      </w:pPr>
      <w:r w:rsidRPr="008A3328">
        <w:rPr>
          <w:rFonts w:ascii="Arial" w:eastAsia="Times New Roman" w:hAnsi="Arial" w:cs="Arial"/>
          <w:color w:val="000000"/>
          <w:sz w:val="24"/>
          <w:szCs w:val="24"/>
          <w:lang w:eastAsia="en-GB"/>
        </w:rPr>
        <w:t>3.1</w:t>
      </w:r>
      <w:r w:rsidRPr="008A3328">
        <w:rPr>
          <w:rFonts w:ascii="Arial" w:eastAsia="Times New Roman" w:hAnsi="Arial" w:cs="Arial"/>
          <w:color w:val="000000"/>
          <w:sz w:val="24"/>
          <w:szCs w:val="24"/>
          <w:lang w:eastAsia="en-GB"/>
        </w:rPr>
        <w:tab/>
      </w:r>
      <w:r w:rsidR="00655010">
        <w:rPr>
          <w:rFonts w:ascii="Arial" w:eastAsia="Times New Roman" w:hAnsi="Arial" w:cs="Arial"/>
          <w:color w:val="000000"/>
          <w:sz w:val="24"/>
          <w:szCs w:val="24"/>
          <w:lang w:eastAsia="en-GB"/>
        </w:rPr>
        <w:t xml:space="preserve">Rapleys produced a viability report </w:t>
      </w:r>
      <w:r w:rsidR="006C118C">
        <w:rPr>
          <w:rFonts w:ascii="Arial" w:eastAsia="Times New Roman" w:hAnsi="Arial" w:cs="Arial"/>
          <w:color w:val="000000"/>
          <w:sz w:val="24"/>
          <w:szCs w:val="24"/>
          <w:lang w:eastAsia="en-GB"/>
        </w:rPr>
        <w:t xml:space="preserve">(see </w:t>
      </w:r>
      <w:r w:rsidR="006C118C" w:rsidRPr="00F6006F">
        <w:rPr>
          <w:rFonts w:ascii="Arial" w:eastAsia="Times New Roman" w:hAnsi="Arial" w:cs="Arial"/>
          <w:b/>
          <w:color w:val="000000"/>
          <w:sz w:val="24"/>
          <w:szCs w:val="24"/>
          <w:lang w:eastAsia="en-GB"/>
        </w:rPr>
        <w:t>Appendix A</w:t>
      </w:r>
      <w:r w:rsidR="006C118C">
        <w:rPr>
          <w:rFonts w:ascii="Arial" w:eastAsia="Times New Roman" w:hAnsi="Arial" w:cs="Arial"/>
          <w:color w:val="000000"/>
          <w:sz w:val="24"/>
          <w:szCs w:val="24"/>
          <w:lang w:eastAsia="en-GB"/>
        </w:rPr>
        <w:t>)</w:t>
      </w:r>
      <w:r w:rsidR="00F6006F">
        <w:rPr>
          <w:rFonts w:ascii="Arial" w:eastAsia="Times New Roman" w:hAnsi="Arial" w:cs="Arial"/>
          <w:color w:val="000000"/>
          <w:sz w:val="24"/>
          <w:szCs w:val="24"/>
          <w:lang w:eastAsia="en-GB"/>
        </w:rPr>
        <w:t xml:space="preserve"> dated 3/12/2019</w:t>
      </w:r>
      <w:r w:rsidR="006C118C">
        <w:rPr>
          <w:rFonts w:ascii="Arial" w:eastAsia="Times New Roman" w:hAnsi="Arial" w:cs="Arial"/>
          <w:color w:val="000000"/>
          <w:sz w:val="24"/>
          <w:szCs w:val="24"/>
          <w:lang w:eastAsia="en-GB"/>
        </w:rPr>
        <w:t xml:space="preserve"> </w:t>
      </w:r>
      <w:r w:rsidR="00655010">
        <w:rPr>
          <w:rFonts w:ascii="Arial" w:eastAsia="Times New Roman" w:hAnsi="Arial" w:cs="Arial"/>
          <w:color w:val="000000"/>
          <w:sz w:val="24"/>
          <w:szCs w:val="24"/>
          <w:lang w:eastAsia="en-GB"/>
        </w:rPr>
        <w:t>in connection with the original planning application for what is now the Appeal Scheme.</w:t>
      </w:r>
      <w:r w:rsidR="006C118C">
        <w:rPr>
          <w:rFonts w:ascii="Arial" w:eastAsia="Times New Roman" w:hAnsi="Arial" w:cs="Arial"/>
          <w:color w:val="000000"/>
          <w:sz w:val="24"/>
          <w:szCs w:val="24"/>
          <w:lang w:eastAsia="en-GB"/>
        </w:rPr>
        <w:t xml:space="preserve"> The Rapleys report concluded that the Appeal Scheme could not viably sustain any affordable housing provision.</w:t>
      </w:r>
    </w:p>
    <w:p w:rsidR="00655010" w:rsidRDefault="00655010" w:rsidP="00406635">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3.2</w:t>
      </w:r>
      <w:r>
        <w:rPr>
          <w:rFonts w:ascii="Arial" w:eastAsia="Times New Roman" w:hAnsi="Arial" w:cs="Arial"/>
          <w:color w:val="000000"/>
          <w:sz w:val="24"/>
          <w:szCs w:val="24"/>
          <w:lang w:eastAsia="en-GB"/>
        </w:rPr>
        <w:tab/>
      </w:r>
      <w:r w:rsidR="006C118C">
        <w:rPr>
          <w:rFonts w:ascii="Arial" w:eastAsia="Times New Roman" w:hAnsi="Arial" w:cs="Arial"/>
          <w:color w:val="000000"/>
          <w:sz w:val="24"/>
          <w:szCs w:val="24"/>
          <w:lang w:eastAsia="en-GB"/>
        </w:rPr>
        <w:t xml:space="preserve">In the report to committee dated 12/3/2020, the only significant viability comments/opinions made by </w:t>
      </w:r>
      <w:r w:rsidR="00966A9E">
        <w:rPr>
          <w:rFonts w:ascii="Arial" w:eastAsia="Times New Roman" w:hAnsi="Arial" w:cs="Arial"/>
          <w:color w:val="000000"/>
          <w:sz w:val="24"/>
          <w:szCs w:val="24"/>
          <w:lang w:eastAsia="en-GB"/>
        </w:rPr>
        <w:t xml:space="preserve">the London Borough of Tower Hamlets (‘LBTH’), </w:t>
      </w:r>
      <w:r w:rsidR="00F6006F">
        <w:rPr>
          <w:rFonts w:ascii="Arial" w:eastAsia="Times New Roman" w:hAnsi="Arial" w:cs="Arial"/>
          <w:color w:val="000000"/>
          <w:sz w:val="24"/>
          <w:szCs w:val="24"/>
          <w:lang w:eastAsia="en-GB"/>
        </w:rPr>
        <w:t>and which were reported to have been provided by LBTH’s Viability Team</w:t>
      </w:r>
      <w:r w:rsidR="00966A9E">
        <w:rPr>
          <w:rFonts w:ascii="Arial" w:eastAsia="Times New Roman" w:hAnsi="Arial" w:cs="Arial"/>
          <w:color w:val="000000"/>
          <w:sz w:val="24"/>
          <w:szCs w:val="24"/>
          <w:lang w:eastAsia="en-GB"/>
        </w:rPr>
        <w:t>,</w:t>
      </w:r>
      <w:r w:rsidR="00F6006F">
        <w:rPr>
          <w:rFonts w:ascii="Arial" w:eastAsia="Times New Roman" w:hAnsi="Arial" w:cs="Arial"/>
          <w:color w:val="000000"/>
          <w:sz w:val="24"/>
          <w:szCs w:val="24"/>
          <w:lang w:eastAsia="en-GB"/>
        </w:rPr>
        <w:t xml:space="preserve"> </w:t>
      </w:r>
      <w:r w:rsidR="006C118C">
        <w:rPr>
          <w:rFonts w:ascii="Arial" w:eastAsia="Times New Roman" w:hAnsi="Arial" w:cs="Arial"/>
          <w:color w:val="000000"/>
          <w:sz w:val="24"/>
          <w:szCs w:val="24"/>
          <w:lang w:eastAsia="en-GB"/>
        </w:rPr>
        <w:t>were in their Sections 5.41, 5.42 and 7.27.</w:t>
      </w:r>
      <w:r w:rsidR="00F6006F">
        <w:rPr>
          <w:rFonts w:ascii="Arial" w:eastAsia="Times New Roman" w:hAnsi="Arial" w:cs="Arial"/>
          <w:color w:val="000000"/>
          <w:sz w:val="24"/>
          <w:szCs w:val="24"/>
          <w:lang w:eastAsia="en-GB"/>
        </w:rPr>
        <w:t xml:space="preserve"> These comments/opinions were unsubstantiated with any specific evidence.</w:t>
      </w:r>
    </w:p>
    <w:p w:rsidR="00655010" w:rsidRDefault="006C118C" w:rsidP="006C118C">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3.3</w:t>
      </w:r>
      <w:r>
        <w:rPr>
          <w:rFonts w:ascii="Arial" w:eastAsia="Times New Roman" w:hAnsi="Arial" w:cs="Arial"/>
          <w:color w:val="000000"/>
          <w:sz w:val="24"/>
          <w:szCs w:val="24"/>
          <w:lang w:eastAsia="en-GB"/>
        </w:rPr>
        <w:tab/>
        <w:t>The application was refused on 18/3/2020 whereupon the first reason for refusal was:-</w:t>
      </w:r>
      <w:r>
        <w:rPr>
          <w:noProof/>
          <w:lang w:eastAsia="en-GB"/>
        </w:rPr>
        <w:drawing>
          <wp:inline distT="0" distB="0" distL="0" distR="0" wp14:anchorId="1FBE88B2" wp14:editId="63FB4819">
            <wp:extent cx="5731510" cy="95948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59485"/>
                    </a:xfrm>
                    <a:prstGeom prst="rect">
                      <a:avLst/>
                    </a:prstGeom>
                  </pic:spPr>
                </pic:pic>
              </a:graphicData>
            </a:graphic>
          </wp:inline>
        </w:drawing>
      </w:r>
    </w:p>
    <w:p w:rsidR="00F6006F" w:rsidRDefault="006C118C"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3.4</w:t>
      </w:r>
      <w:r>
        <w:rPr>
          <w:rFonts w:ascii="Arial" w:eastAsia="Times New Roman" w:hAnsi="Arial" w:cs="Arial"/>
          <w:color w:val="000000"/>
          <w:sz w:val="24"/>
          <w:szCs w:val="24"/>
          <w:lang w:eastAsia="en-GB"/>
        </w:rPr>
        <w:tab/>
      </w:r>
      <w:r w:rsidR="00F6006F">
        <w:rPr>
          <w:rFonts w:ascii="Arial" w:eastAsia="Times New Roman" w:hAnsi="Arial" w:cs="Arial"/>
          <w:color w:val="000000"/>
          <w:sz w:val="24"/>
          <w:szCs w:val="24"/>
          <w:lang w:eastAsia="en-GB"/>
        </w:rPr>
        <w:t xml:space="preserve">LBTH did not </w:t>
      </w:r>
      <w:r w:rsidR="0082394F">
        <w:rPr>
          <w:rFonts w:ascii="Arial" w:eastAsia="Times New Roman" w:hAnsi="Arial" w:cs="Arial"/>
          <w:color w:val="000000"/>
          <w:sz w:val="24"/>
          <w:szCs w:val="24"/>
          <w:lang w:eastAsia="en-GB"/>
        </w:rPr>
        <w:t>produce</w:t>
      </w:r>
      <w:r w:rsidR="00F6006F">
        <w:rPr>
          <w:rFonts w:ascii="Arial" w:eastAsia="Times New Roman" w:hAnsi="Arial" w:cs="Arial"/>
          <w:color w:val="000000"/>
          <w:sz w:val="24"/>
          <w:szCs w:val="24"/>
          <w:lang w:eastAsia="en-GB"/>
        </w:rPr>
        <w:t xml:space="preserve"> any form of viability report </w:t>
      </w:r>
      <w:r w:rsidR="0082394F">
        <w:rPr>
          <w:rFonts w:ascii="Arial" w:eastAsia="Times New Roman" w:hAnsi="Arial" w:cs="Arial"/>
          <w:color w:val="000000"/>
          <w:sz w:val="24"/>
          <w:szCs w:val="24"/>
          <w:lang w:eastAsia="en-GB"/>
        </w:rPr>
        <w:t xml:space="preserve">prior to refusal </w:t>
      </w:r>
      <w:r w:rsidR="00F6006F">
        <w:rPr>
          <w:rFonts w:ascii="Arial" w:eastAsia="Times New Roman" w:hAnsi="Arial" w:cs="Arial"/>
          <w:color w:val="000000"/>
          <w:sz w:val="24"/>
          <w:szCs w:val="24"/>
          <w:lang w:eastAsia="en-GB"/>
        </w:rPr>
        <w:t>and so the applicant effectively had no opportunity to reasonably discuss LBTH’s concerns professionally.</w:t>
      </w:r>
    </w:p>
    <w:p w:rsidR="006C118C" w:rsidRDefault="00F6006F"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3.5</w:t>
      </w:r>
      <w:r>
        <w:rPr>
          <w:rFonts w:ascii="Arial" w:eastAsia="Times New Roman" w:hAnsi="Arial" w:cs="Arial"/>
          <w:color w:val="000000"/>
          <w:sz w:val="24"/>
          <w:szCs w:val="24"/>
          <w:lang w:eastAsia="en-GB"/>
        </w:rPr>
        <w:tab/>
      </w:r>
      <w:r w:rsidR="006C118C">
        <w:rPr>
          <w:rFonts w:ascii="Arial" w:eastAsia="Times New Roman" w:hAnsi="Arial" w:cs="Arial"/>
          <w:color w:val="000000"/>
          <w:sz w:val="24"/>
          <w:szCs w:val="24"/>
          <w:lang w:eastAsia="en-GB"/>
        </w:rPr>
        <w:t>I was asked to comment on the LBTH Committee report</w:t>
      </w:r>
      <w:r>
        <w:rPr>
          <w:rFonts w:ascii="Arial" w:eastAsia="Times New Roman" w:hAnsi="Arial" w:cs="Arial"/>
          <w:color w:val="000000"/>
          <w:sz w:val="24"/>
          <w:szCs w:val="24"/>
          <w:lang w:eastAsia="en-GB"/>
        </w:rPr>
        <w:t xml:space="preserve"> in May 2020 which I did via a written ‘Review of Comments’ dated 16/6/2020 (see </w:t>
      </w:r>
      <w:r w:rsidRPr="00F6006F">
        <w:rPr>
          <w:rFonts w:ascii="Arial" w:eastAsia="Times New Roman" w:hAnsi="Arial" w:cs="Arial"/>
          <w:b/>
          <w:color w:val="000000"/>
          <w:sz w:val="24"/>
          <w:szCs w:val="24"/>
          <w:lang w:eastAsia="en-GB"/>
        </w:rPr>
        <w:t>Appendix B</w:t>
      </w:r>
      <w:r>
        <w:rPr>
          <w:rFonts w:ascii="Arial" w:eastAsia="Times New Roman" w:hAnsi="Arial" w:cs="Arial"/>
          <w:color w:val="000000"/>
          <w:sz w:val="24"/>
          <w:szCs w:val="24"/>
          <w:lang w:eastAsia="en-GB"/>
        </w:rPr>
        <w:t>)</w:t>
      </w:r>
      <w:r w:rsidR="0049433C">
        <w:rPr>
          <w:rFonts w:ascii="Arial" w:eastAsia="Times New Roman" w:hAnsi="Arial" w:cs="Arial"/>
          <w:color w:val="000000"/>
          <w:sz w:val="24"/>
          <w:szCs w:val="24"/>
          <w:lang w:eastAsia="en-GB"/>
        </w:rPr>
        <w:t>.</w:t>
      </w:r>
    </w:p>
    <w:p w:rsidR="0049433C" w:rsidRDefault="0049433C"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3.6</w:t>
      </w:r>
      <w:r>
        <w:rPr>
          <w:rFonts w:ascii="Arial" w:eastAsia="Times New Roman" w:hAnsi="Arial" w:cs="Arial"/>
          <w:color w:val="000000"/>
          <w:sz w:val="24"/>
          <w:szCs w:val="24"/>
          <w:lang w:eastAsia="en-GB"/>
        </w:rPr>
        <w:tab/>
        <w:t xml:space="preserve">In responding to the appeal, LBTH produced their Statement of Case (undated but which was copied to me on 31/7/2020) which </w:t>
      </w:r>
      <w:r w:rsidR="00586BD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introduced</w:t>
      </w:r>
      <w:r w:rsidR="00586BD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 viability/affordable housing report produced by BNP Paribas </w:t>
      </w:r>
      <w:r w:rsidR="00586BD9">
        <w:rPr>
          <w:rFonts w:ascii="Arial" w:eastAsia="Times New Roman" w:hAnsi="Arial" w:cs="Arial"/>
          <w:color w:val="000000"/>
          <w:sz w:val="24"/>
          <w:szCs w:val="24"/>
          <w:lang w:eastAsia="en-GB"/>
        </w:rPr>
        <w:t xml:space="preserve">(‘BNPP’) </w:t>
      </w:r>
      <w:r>
        <w:rPr>
          <w:rFonts w:ascii="Arial" w:eastAsia="Times New Roman" w:hAnsi="Arial" w:cs="Arial"/>
          <w:color w:val="000000"/>
          <w:sz w:val="24"/>
          <w:szCs w:val="24"/>
          <w:lang w:eastAsia="en-GB"/>
        </w:rPr>
        <w:t xml:space="preserve">dated </w:t>
      </w:r>
      <w:r w:rsidR="00586BD9">
        <w:rPr>
          <w:rFonts w:ascii="Arial" w:eastAsia="Times New Roman" w:hAnsi="Arial" w:cs="Arial"/>
          <w:color w:val="000000"/>
          <w:sz w:val="24"/>
          <w:szCs w:val="24"/>
          <w:lang w:eastAsia="en-GB"/>
        </w:rPr>
        <w:t>27/7/2020</w:t>
      </w:r>
      <w:r w:rsidR="00C90B47">
        <w:rPr>
          <w:rFonts w:ascii="Arial" w:eastAsia="Times New Roman" w:hAnsi="Arial" w:cs="Arial"/>
          <w:color w:val="000000"/>
          <w:sz w:val="24"/>
          <w:szCs w:val="24"/>
          <w:lang w:eastAsia="en-GB"/>
        </w:rPr>
        <w:t xml:space="preserve">. </w:t>
      </w:r>
    </w:p>
    <w:p w:rsidR="00887BC8" w:rsidRDefault="00887BC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586BD9" w:rsidRDefault="00586BD9"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3.7</w:t>
      </w:r>
      <w:r>
        <w:rPr>
          <w:rFonts w:ascii="Arial" w:eastAsia="Times New Roman" w:hAnsi="Arial" w:cs="Arial"/>
          <w:color w:val="000000"/>
          <w:sz w:val="24"/>
          <w:szCs w:val="24"/>
          <w:lang w:eastAsia="en-GB"/>
        </w:rPr>
        <w:tab/>
        <w:t>Bearing in mind the content of the BNPP report dated 27/7/2020</w:t>
      </w:r>
      <w:r w:rsidR="0081256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and whilst I</w:t>
      </w:r>
      <w:r w:rsidR="00812566">
        <w:rPr>
          <w:rFonts w:ascii="Arial" w:eastAsia="Times New Roman" w:hAnsi="Arial" w:cs="Arial"/>
          <w:color w:val="000000"/>
          <w:sz w:val="24"/>
          <w:szCs w:val="24"/>
          <w:lang w:eastAsia="en-GB"/>
        </w:rPr>
        <w:t xml:space="preserve"> am not a planning consultant,</w:t>
      </w:r>
      <w:r>
        <w:rPr>
          <w:rFonts w:ascii="Arial" w:eastAsia="Times New Roman" w:hAnsi="Arial" w:cs="Arial"/>
          <w:color w:val="000000"/>
          <w:sz w:val="24"/>
          <w:szCs w:val="24"/>
          <w:lang w:eastAsia="en-GB"/>
        </w:rPr>
        <w:t xml:space="preserve"> the original reason for refusal highlighted above appears to have been invalid because the BNPP report effectively indicates that 84 of the 109 proposed bedrooms within the Appeal Scheme are ‘naturally’ affordable (i.e. the maximum potential rents to be charged without any S.106 affordable housing restriction already meet certain policy based affordability criteria</w:t>
      </w:r>
      <w:r w:rsidR="0081256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p>
    <w:p w:rsidR="00B46E2A" w:rsidRDefault="00B46E2A"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3.8</w:t>
      </w:r>
      <w:r>
        <w:rPr>
          <w:rFonts w:ascii="Arial" w:eastAsia="Times New Roman" w:hAnsi="Arial" w:cs="Arial"/>
          <w:color w:val="000000"/>
          <w:sz w:val="24"/>
          <w:szCs w:val="24"/>
          <w:lang w:eastAsia="en-GB"/>
        </w:rPr>
        <w:tab/>
        <w:t xml:space="preserve">In their recent Statement of Case, LBTH have </w:t>
      </w:r>
      <w:r w:rsidRPr="00B46E2A">
        <w:rPr>
          <w:rFonts w:ascii="Arial" w:eastAsia="Times New Roman" w:hAnsi="Arial" w:cs="Arial"/>
          <w:color w:val="000000"/>
          <w:sz w:val="24"/>
          <w:szCs w:val="24"/>
          <w:u w:val="single"/>
          <w:lang w:eastAsia="en-GB"/>
        </w:rPr>
        <w:t>expanded upon</w:t>
      </w:r>
      <w:r>
        <w:rPr>
          <w:rFonts w:ascii="Arial" w:eastAsia="Times New Roman" w:hAnsi="Arial" w:cs="Arial"/>
          <w:color w:val="000000"/>
          <w:sz w:val="24"/>
          <w:szCs w:val="24"/>
          <w:lang w:eastAsia="en-GB"/>
        </w:rPr>
        <w:t xml:space="preserve"> their affordable housing related reason for refusal as follows:-</w:t>
      </w:r>
    </w:p>
    <w:p w:rsidR="00D35C24" w:rsidRDefault="00655010">
      <w:pPr>
        <w:rPr>
          <w:rFonts w:ascii="Arial" w:eastAsia="Times New Roman" w:hAnsi="Arial" w:cs="Arial"/>
          <w:color w:val="000000"/>
          <w:sz w:val="24"/>
          <w:szCs w:val="24"/>
          <w:lang w:eastAsia="en-GB"/>
        </w:rPr>
      </w:pPr>
      <w:r>
        <w:rPr>
          <w:noProof/>
          <w:lang w:eastAsia="en-GB"/>
        </w:rPr>
        <w:drawing>
          <wp:inline distT="0" distB="0" distL="0" distR="0" wp14:anchorId="16778AFD" wp14:editId="085FD8F1">
            <wp:extent cx="5731510" cy="26981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98115"/>
                    </a:xfrm>
                    <a:prstGeom prst="rect">
                      <a:avLst/>
                    </a:prstGeom>
                  </pic:spPr>
                </pic:pic>
              </a:graphicData>
            </a:graphic>
          </wp:inline>
        </w:drawing>
      </w:r>
    </w:p>
    <w:p w:rsidR="00887BC8" w:rsidRDefault="00887BC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D35C24" w:rsidRDefault="00D35C24" w:rsidP="00D35C24">
      <w:pPr>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3.9</w:t>
      </w:r>
      <w:r>
        <w:rPr>
          <w:rFonts w:ascii="Arial" w:eastAsia="Times New Roman" w:hAnsi="Arial" w:cs="Arial"/>
          <w:color w:val="000000"/>
          <w:sz w:val="24"/>
          <w:szCs w:val="24"/>
          <w:lang w:eastAsia="en-GB"/>
        </w:rPr>
        <w:tab/>
        <w:t>At Sections 4.5 and 4.6 of the BNPP report dated 27/7/2020, they say:-</w:t>
      </w:r>
    </w:p>
    <w:p w:rsidR="00D35C24" w:rsidRDefault="0084739A" w:rsidP="0084739A">
      <w:pPr>
        <w:ind w:left="142"/>
        <w:jc w:val="center"/>
        <w:rPr>
          <w:rFonts w:ascii="Arial" w:eastAsia="Times New Roman" w:hAnsi="Arial" w:cs="Arial"/>
          <w:color w:val="000000"/>
          <w:sz w:val="24"/>
          <w:szCs w:val="24"/>
          <w:lang w:eastAsia="en-GB"/>
        </w:rPr>
      </w:pPr>
      <w:r>
        <w:rPr>
          <w:noProof/>
          <w:lang w:eastAsia="en-GB"/>
        </w:rPr>
        <w:drawing>
          <wp:inline distT="0" distB="0" distL="0" distR="0" wp14:anchorId="78553993" wp14:editId="13104278">
            <wp:extent cx="4308151" cy="3179803"/>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4493" cy="3184484"/>
                    </a:xfrm>
                    <a:prstGeom prst="rect">
                      <a:avLst/>
                    </a:prstGeom>
                  </pic:spPr>
                </pic:pic>
              </a:graphicData>
            </a:graphic>
          </wp:inline>
        </w:drawing>
      </w:r>
    </w:p>
    <w:p w:rsidR="00406635" w:rsidRDefault="0084739A"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3.10</w:t>
      </w:r>
      <w:r>
        <w:rPr>
          <w:rFonts w:ascii="Arial" w:eastAsia="Times New Roman" w:hAnsi="Arial" w:cs="Arial"/>
          <w:color w:val="000000"/>
          <w:sz w:val="24"/>
          <w:szCs w:val="24"/>
          <w:lang w:eastAsia="en-GB"/>
        </w:rPr>
        <w:tab/>
        <w:t xml:space="preserve">As such, it appears </w:t>
      </w:r>
      <w:r w:rsidR="00812566">
        <w:rPr>
          <w:rFonts w:ascii="Arial" w:eastAsia="Times New Roman" w:hAnsi="Arial" w:cs="Arial"/>
          <w:color w:val="000000"/>
          <w:sz w:val="24"/>
          <w:szCs w:val="24"/>
          <w:lang w:eastAsia="en-GB"/>
        </w:rPr>
        <w:t>that there is a greater</w:t>
      </w:r>
      <w:r>
        <w:rPr>
          <w:rFonts w:ascii="Arial" w:eastAsia="Times New Roman" w:hAnsi="Arial" w:cs="Arial"/>
          <w:color w:val="000000"/>
          <w:sz w:val="24"/>
          <w:szCs w:val="24"/>
          <w:lang w:eastAsia="en-GB"/>
        </w:rPr>
        <w:t xml:space="preserve"> affordable housing </w:t>
      </w:r>
      <w:r w:rsidR="00812566">
        <w:rPr>
          <w:rFonts w:ascii="Arial" w:eastAsia="Times New Roman" w:hAnsi="Arial" w:cs="Arial"/>
          <w:color w:val="000000"/>
          <w:sz w:val="24"/>
          <w:szCs w:val="24"/>
          <w:lang w:eastAsia="en-GB"/>
        </w:rPr>
        <w:t xml:space="preserve">provision </w:t>
      </w:r>
      <w:r>
        <w:rPr>
          <w:rFonts w:ascii="Arial" w:eastAsia="Times New Roman" w:hAnsi="Arial" w:cs="Arial"/>
          <w:color w:val="000000"/>
          <w:sz w:val="24"/>
          <w:szCs w:val="24"/>
          <w:lang w:eastAsia="en-GB"/>
        </w:rPr>
        <w:t>within the Appeal S</w:t>
      </w:r>
      <w:r w:rsidR="00812566">
        <w:rPr>
          <w:rFonts w:ascii="Arial" w:eastAsia="Times New Roman" w:hAnsi="Arial" w:cs="Arial"/>
          <w:color w:val="000000"/>
          <w:sz w:val="24"/>
          <w:szCs w:val="24"/>
          <w:lang w:eastAsia="en-GB"/>
        </w:rPr>
        <w:t>cheme than policy requires.</w:t>
      </w:r>
    </w:p>
    <w:p w:rsidR="0084739A" w:rsidRDefault="0084739A"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3.11</w:t>
      </w:r>
      <w:r>
        <w:rPr>
          <w:rFonts w:ascii="Arial" w:eastAsia="Times New Roman" w:hAnsi="Arial" w:cs="Arial"/>
          <w:color w:val="000000"/>
          <w:sz w:val="24"/>
          <w:szCs w:val="24"/>
          <w:lang w:eastAsia="en-GB"/>
        </w:rPr>
        <w:tab/>
        <w:t>LBTH’s updated First Reason for Refusal (iii) does not seem valid in light of the BNPP report. I am not a planning consultant but their First Reason for Refusal (ii) also seems questionable.</w:t>
      </w:r>
    </w:p>
    <w:p w:rsidR="0084739A" w:rsidRDefault="0084739A"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3.12</w:t>
      </w:r>
      <w:r>
        <w:rPr>
          <w:rFonts w:ascii="Arial" w:eastAsia="Times New Roman" w:hAnsi="Arial" w:cs="Arial"/>
          <w:color w:val="000000"/>
          <w:sz w:val="24"/>
          <w:szCs w:val="24"/>
          <w:lang w:eastAsia="en-GB"/>
        </w:rPr>
        <w:tab/>
      </w:r>
      <w:r w:rsidR="00812566">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 xml:space="preserve"> focus herein on what I think the viability of the Appeal Scheme </w:t>
      </w:r>
      <w:r w:rsidR="00812566">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 and whether any </w:t>
      </w:r>
      <w:r w:rsidRPr="0084739A">
        <w:rPr>
          <w:rFonts w:ascii="Arial" w:eastAsia="Times New Roman" w:hAnsi="Arial" w:cs="Arial"/>
          <w:color w:val="000000"/>
          <w:sz w:val="24"/>
          <w:szCs w:val="24"/>
          <w:u w:val="single"/>
          <w:lang w:eastAsia="en-GB"/>
        </w:rPr>
        <w:t>formal</w:t>
      </w:r>
      <w:r>
        <w:rPr>
          <w:rFonts w:ascii="Arial" w:eastAsia="Times New Roman" w:hAnsi="Arial" w:cs="Arial"/>
          <w:color w:val="000000"/>
          <w:sz w:val="24"/>
          <w:szCs w:val="24"/>
          <w:lang w:eastAsia="en-GB"/>
        </w:rPr>
        <w:t xml:space="preserve"> affordable housing restrictions/conditions (i.e. as would be embodied in a Section 106 Agreement) would detrimentally affect its viability and/or deliverability. </w:t>
      </w:r>
    </w:p>
    <w:p w:rsidR="00362591" w:rsidRDefault="00362591"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3.13</w:t>
      </w:r>
      <w:r>
        <w:rPr>
          <w:rFonts w:ascii="Arial" w:eastAsia="Times New Roman" w:hAnsi="Arial" w:cs="Arial"/>
          <w:color w:val="000000"/>
          <w:sz w:val="24"/>
          <w:szCs w:val="24"/>
          <w:lang w:eastAsia="en-GB"/>
        </w:rPr>
        <w:tab/>
        <w:t>At Section 6.34 of LBTH’s Statement of Case, they say the following are now the main items of dispute regarding viability:-</w:t>
      </w:r>
    </w:p>
    <w:p w:rsidR="0048693B" w:rsidRPr="00362591" w:rsidRDefault="00362591" w:rsidP="00E5632E">
      <w:pPr>
        <w:pStyle w:val="ListParagraph"/>
        <w:numPr>
          <w:ilvl w:val="0"/>
          <w:numId w:val="3"/>
        </w:numPr>
        <w:autoSpaceDE w:val="0"/>
        <w:autoSpaceDN w:val="0"/>
        <w:adjustRightInd w:val="0"/>
        <w:spacing w:after="278" w:line="240" w:lineRule="auto"/>
        <w:rPr>
          <w:rFonts w:ascii="Arial" w:hAnsi="Arial" w:cs="Arial"/>
          <w:color w:val="000000"/>
          <w:sz w:val="24"/>
          <w:szCs w:val="24"/>
        </w:rPr>
      </w:pPr>
      <w:r>
        <w:rPr>
          <w:rFonts w:ascii="Arial" w:hAnsi="Arial" w:cs="Arial"/>
          <w:color w:val="000000"/>
          <w:sz w:val="24"/>
          <w:szCs w:val="24"/>
        </w:rPr>
        <w:t>Existing hostel rental value.</w:t>
      </w:r>
    </w:p>
    <w:p w:rsidR="00362591" w:rsidRDefault="00362591" w:rsidP="00E5632E">
      <w:pPr>
        <w:pStyle w:val="ListParagraph"/>
        <w:numPr>
          <w:ilvl w:val="0"/>
          <w:numId w:val="3"/>
        </w:numPr>
        <w:autoSpaceDE w:val="0"/>
        <w:autoSpaceDN w:val="0"/>
        <w:adjustRightInd w:val="0"/>
        <w:spacing w:after="278" w:line="240" w:lineRule="auto"/>
        <w:rPr>
          <w:rFonts w:ascii="Arial" w:hAnsi="Arial" w:cs="Arial"/>
          <w:color w:val="000000"/>
          <w:sz w:val="24"/>
          <w:szCs w:val="24"/>
        </w:rPr>
      </w:pPr>
      <w:r>
        <w:rPr>
          <w:rFonts w:ascii="Arial" w:hAnsi="Arial" w:cs="Arial"/>
          <w:color w:val="000000"/>
          <w:sz w:val="24"/>
          <w:szCs w:val="24"/>
        </w:rPr>
        <w:t>Build costs.</w:t>
      </w:r>
    </w:p>
    <w:p w:rsidR="00362591" w:rsidRPr="00362591" w:rsidRDefault="00362591" w:rsidP="00E5632E">
      <w:pPr>
        <w:pStyle w:val="ListParagraph"/>
        <w:numPr>
          <w:ilvl w:val="0"/>
          <w:numId w:val="3"/>
        </w:numPr>
        <w:autoSpaceDE w:val="0"/>
        <w:autoSpaceDN w:val="0"/>
        <w:adjustRightInd w:val="0"/>
        <w:spacing w:after="278" w:line="240" w:lineRule="auto"/>
        <w:rPr>
          <w:rFonts w:ascii="Arial" w:hAnsi="Arial" w:cs="Arial"/>
          <w:color w:val="000000"/>
          <w:sz w:val="24"/>
          <w:szCs w:val="24"/>
        </w:rPr>
      </w:pPr>
      <w:r w:rsidRPr="00362591">
        <w:rPr>
          <w:rFonts w:ascii="Arial" w:hAnsi="Arial" w:cs="Arial"/>
          <w:color w:val="000000"/>
          <w:sz w:val="24"/>
          <w:szCs w:val="24"/>
        </w:rPr>
        <w:t>Floor</w:t>
      </w:r>
      <w:r>
        <w:rPr>
          <w:rFonts w:ascii="Arial" w:hAnsi="Arial" w:cs="Arial"/>
          <w:color w:val="000000"/>
          <w:sz w:val="24"/>
          <w:szCs w:val="24"/>
        </w:rPr>
        <w:t xml:space="preserve"> </w:t>
      </w:r>
      <w:r w:rsidRPr="00362591">
        <w:rPr>
          <w:rFonts w:ascii="Arial" w:hAnsi="Arial" w:cs="Arial"/>
          <w:color w:val="000000"/>
          <w:sz w:val="24"/>
          <w:szCs w:val="24"/>
        </w:rPr>
        <w:t>space calculations</w:t>
      </w:r>
      <w:r>
        <w:rPr>
          <w:rFonts w:ascii="Arial" w:hAnsi="Arial" w:cs="Arial"/>
          <w:color w:val="000000"/>
          <w:sz w:val="24"/>
          <w:szCs w:val="24"/>
        </w:rPr>
        <w:t>.</w:t>
      </w:r>
      <w:r w:rsidRPr="00362591">
        <w:rPr>
          <w:rFonts w:ascii="Arial" w:hAnsi="Arial" w:cs="Arial"/>
          <w:color w:val="000000"/>
          <w:sz w:val="24"/>
          <w:szCs w:val="24"/>
        </w:rPr>
        <w:t xml:space="preserve"> </w:t>
      </w:r>
    </w:p>
    <w:p w:rsidR="0048693B" w:rsidRPr="00362591" w:rsidRDefault="0048693B" w:rsidP="00E5632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62591">
        <w:rPr>
          <w:rFonts w:ascii="Arial" w:hAnsi="Arial" w:cs="Arial"/>
          <w:color w:val="000000"/>
          <w:sz w:val="24"/>
          <w:szCs w:val="24"/>
        </w:rPr>
        <w:t>Benchmark Land Value</w:t>
      </w:r>
      <w:r w:rsidR="00362591">
        <w:rPr>
          <w:rFonts w:ascii="Arial" w:hAnsi="Arial" w:cs="Arial"/>
          <w:color w:val="000000"/>
          <w:sz w:val="24"/>
          <w:szCs w:val="24"/>
        </w:rPr>
        <w:t>.</w:t>
      </w:r>
      <w:r w:rsidRPr="00362591">
        <w:rPr>
          <w:rFonts w:ascii="Arial" w:hAnsi="Arial" w:cs="Arial"/>
          <w:color w:val="000000"/>
          <w:sz w:val="24"/>
          <w:szCs w:val="24"/>
        </w:rPr>
        <w:t xml:space="preserve"> </w:t>
      </w:r>
    </w:p>
    <w:p w:rsidR="0048693B" w:rsidRPr="0048693B" w:rsidRDefault="0048693B" w:rsidP="00362591">
      <w:pPr>
        <w:autoSpaceDE w:val="0"/>
        <w:autoSpaceDN w:val="0"/>
        <w:adjustRightInd w:val="0"/>
        <w:spacing w:after="0" w:line="240" w:lineRule="auto"/>
        <w:ind w:hanging="218"/>
        <w:rPr>
          <w:rFonts w:ascii="Arial" w:hAnsi="Arial" w:cs="Arial"/>
          <w:color w:val="000000"/>
          <w:sz w:val="24"/>
          <w:szCs w:val="24"/>
        </w:rPr>
      </w:pPr>
    </w:p>
    <w:p w:rsidR="00887BC8" w:rsidRDefault="00887BC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48693B" w:rsidRDefault="00362591" w:rsidP="00887BC8">
      <w:pPr>
        <w:spacing w:after="0" w:line="480" w:lineRule="auto"/>
        <w:ind w:left="142" w:hanging="70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3.14</w:t>
      </w:r>
      <w:r>
        <w:rPr>
          <w:rFonts w:ascii="Arial" w:eastAsia="Times New Roman" w:hAnsi="Arial" w:cs="Arial"/>
          <w:color w:val="000000"/>
          <w:sz w:val="24"/>
          <w:szCs w:val="24"/>
          <w:lang w:eastAsia="en-GB"/>
        </w:rPr>
        <w:tab/>
        <w:t>However, the BNPP report indicates that we are agreed on the BLV at £5.89m and I clarify herein why there is no floor space issue. This leaves:-</w:t>
      </w:r>
    </w:p>
    <w:p w:rsidR="00362591" w:rsidRPr="00362591" w:rsidRDefault="00362591" w:rsidP="00E5632E">
      <w:pPr>
        <w:pStyle w:val="ListParagraph"/>
        <w:numPr>
          <w:ilvl w:val="0"/>
          <w:numId w:val="2"/>
        </w:numPr>
        <w:rPr>
          <w:rFonts w:ascii="Arial" w:eastAsia="Times New Roman" w:hAnsi="Arial" w:cs="Arial"/>
          <w:color w:val="000000"/>
          <w:sz w:val="24"/>
          <w:szCs w:val="24"/>
          <w:lang w:eastAsia="en-GB"/>
        </w:rPr>
      </w:pPr>
      <w:r w:rsidRPr="00362591">
        <w:rPr>
          <w:rFonts w:ascii="Arial" w:eastAsia="Times New Roman" w:hAnsi="Arial" w:cs="Arial"/>
          <w:color w:val="000000"/>
          <w:sz w:val="24"/>
          <w:szCs w:val="24"/>
          <w:lang w:eastAsia="en-GB"/>
        </w:rPr>
        <w:t>Existing hostel rental value, and;</w:t>
      </w:r>
    </w:p>
    <w:p w:rsidR="00362591" w:rsidRPr="00362591" w:rsidRDefault="00362591" w:rsidP="00E5632E">
      <w:pPr>
        <w:pStyle w:val="ListParagraph"/>
        <w:numPr>
          <w:ilvl w:val="0"/>
          <w:numId w:val="2"/>
        </w:numPr>
        <w:rPr>
          <w:rFonts w:ascii="Arial" w:eastAsia="Times New Roman" w:hAnsi="Arial" w:cs="Arial"/>
          <w:color w:val="000000"/>
          <w:sz w:val="24"/>
          <w:szCs w:val="24"/>
          <w:lang w:eastAsia="en-GB"/>
        </w:rPr>
      </w:pPr>
      <w:r w:rsidRPr="00362591">
        <w:rPr>
          <w:rFonts w:ascii="Arial" w:eastAsia="Times New Roman" w:hAnsi="Arial" w:cs="Arial"/>
          <w:color w:val="000000"/>
          <w:sz w:val="24"/>
          <w:szCs w:val="24"/>
          <w:lang w:eastAsia="en-GB"/>
        </w:rPr>
        <w:t>Build costs.</w:t>
      </w:r>
    </w:p>
    <w:p w:rsidR="00F55B57" w:rsidRDefault="00CF619C" w:rsidP="000073E1">
      <w:pPr>
        <w:spacing w:after="0" w:line="480" w:lineRule="auto"/>
        <w:ind w:left="142" w:hanging="709"/>
        <w:jc w:val="both"/>
        <w:rPr>
          <w:rFonts w:ascii="Arial" w:hAnsi="Arial" w:cs="Arial"/>
          <w:b/>
          <w:sz w:val="24"/>
          <w:szCs w:val="24"/>
        </w:rPr>
      </w:pPr>
      <w:r w:rsidRPr="008A3328">
        <w:rPr>
          <w:rFonts w:ascii="Arial" w:hAnsi="Arial" w:cs="Arial"/>
          <w:b/>
          <w:sz w:val="24"/>
          <w:szCs w:val="24"/>
        </w:rPr>
        <w:t>4.0</w:t>
      </w:r>
      <w:r w:rsidRPr="008A3328">
        <w:rPr>
          <w:rFonts w:ascii="Arial" w:hAnsi="Arial" w:cs="Arial"/>
          <w:b/>
          <w:sz w:val="24"/>
          <w:szCs w:val="24"/>
        </w:rPr>
        <w:tab/>
      </w:r>
      <w:r w:rsidR="0084739A">
        <w:rPr>
          <w:rFonts w:ascii="Arial" w:hAnsi="Arial" w:cs="Arial"/>
          <w:b/>
          <w:sz w:val="24"/>
          <w:szCs w:val="24"/>
        </w:rPr>
        <w:t>Comments/</w:t>
      </w:r>
      <w:r w:rsidR="00F55B57">
        <w:rPr>
          <w:rFonts w:ascii="Arial" w:hAnsi="Arial" w:cs="Arial"/>
          <w:b/>
          <w:sz w:val="24"/>
          <w:szCs w:val="24"/>
        </w:rPr>
        <w:t xml:space="preserve">Rebuttal </w:t>
      </w:r>
      <w:r w:rsidR="00D26DCA">
        <w:rPr>
          <w:rFonts w:ascii="Arial" w:hAnsi="Arial" w:cs="Arial"/>
          <w:b/>
          <w:sz w:val="24"/>
          <w:szCs w:val="24"/>
        </w:rPr>
        <w:t>–</w:t>
      </w:r>
      <w:r w:rsidR="0084739A">
        <w:rPr>
          <w:rFonts w:ascii="Arial" w:hAnsi="Arial" w:cs="Arial"/>
          <w:b/>
          <w:sz w:val="24"/>
          <w:szCs w:val="24"/>
        </w:rPr>
        <w:t xml:space="preserve"> </w:t>
      </w:r>
      <w:r w:rsidR="00F55B57">
        <w:rPr>
          <w:rFonts w:ascii="Arial" w:hAnsi="Arial" w:cs="Arial"/>
          <w:b/>
          <w:sz w:val="24"/>
          <w:szCs w:val="24"/>
        </w:rPr>
        <w:t xml:space="preserve">BNP Paribas </w:t>
      </w:r>
      <w:r w:rsidR="0084739A">
        <w:rPr>
          <w:rFonts w:ascii="Arial" w:hAnsi="Arial" w:cs="Arial"/>
          <w:b/>
          <w:sz w:val="24"/>
          <w:szCs w:val="24"/>
        </w:rPr>
        <w:t>Report</w:t>
      </w:r>
    </w:p>
    <w:p w:rsidR="003733E0" w:rsidRDefault="00F55B57" w:rsidP="000073E1">
      <w:pPr>
        <w:spacing w:after="0" w:line="480" w:lineRule="auto"/>
        <w:ind w:left="142" w:hanging="709"/>
        <w:jc w:val="both"/>
        <w:rPr>
          <w:rFonts w:ascii="Arial" w:hAnsi="Arial" w:cs="Arial"/>
          <w:sz w:val="24"/>
          <w:szCs w:val="24"/>
        </w:rPr>
      </w:pPr>
      <w:r w:rsidRPr="00F55B57">
        <w:rPr>
          <w:rFonts w:ascii="Arial" w:hAnsi="Arial" w:cs="Arial"/>
          <w:sz w:val="24"/>
          <w:szCs w:val="24"/>
        </w:rPr>
        <w:t>4.1</w:t>
      </w:r>
      <w:r w:rsidRPr="00F55B57">
        <w:rPr>
          <w:rFonts w:ascii="Arial" w:hAnsi="Arial" w:cs="Arial"/>
          <w:sz w:val="24"/>
          <w:szCs w:val="24"/>
        </w:rPr>
        <w:tab/>
      </w:r>
      <w:r w:rsidR="003733E0">
        <w:rPr>
          <w:rFonts w:ascii="Arial" w:hAnsi="Arial" w:cs="Arial"/>
          <w:sz w:val="24"/>
          <w:szCs w:val="24"/>
        </w:rPr>
        <w:t xml:space="preserve">In Appendix </w:t>
      </w:r>
      <w:r w:rsidR="00A920E0">
        <w:rPr>
          <w:rFonts w:ascii="Arial" w:hAnsi="Arial" w:cs="Arial"/>
          <w:sz w:val="24"/>
          <w:szCs w:val="24"/>
        </w:rPr>
        <w:t>1</w:t>
      </w:r>
      <w:r w:rsidR="003733E0">
        <w:rPr>
          <w:rFonts w:ascii="Arial" w:hAnsi="Arial" w:cs="Arial"/>
          <w:sz w:val="24"/>
          <w:szCs w:val="24"/>
        </w:rPr>
        <w:t xml:space="preserve"> to the London Borough of Tower Hamlets (‘LBTH’) Statement of Case</w:t>
      </w:r>
      <w:r w:rsidR="00A920E0">
        <w:rPr>
          <w:rFonts w:ascii="Arial" w:hAnsi="Arial" w:cs="Arial"/>
          <w:sz w:val="24"/>
          <w:szCs w:val="24"/>
        </w:rPr>
        <w:t xml:space="preserve"> is a viability report prepared by BNP Paribas </w:t>
      </w:r>
      <w:r w:rsidR="009820DE">
        <w:rPr>
          <w:rFonts w:ascii="Arial" w:hAnsi="Arial" w:cs="Arial"/>
          <w:sz w:val="24"/>
          <w:szCs w:val="24"/>
        </w:rPr>
        <w:t xml:space="preserve">(‘BNPP’) </w:t>
      </w:r>
      <w:r w:rsidR="00A920E0">
        <w:rPr>
          <w:rFonts w:ascii="Arial" w:hAnsi="Arial" w:cs="Arial"/>
          <w:sz w:val="24"/>
          <w:szCs w:val="24"/>
        </w:rPr>
        <w:t>dated</w:t>
      </w:r>
      <w:r w:rsidR="009820DE">
        <w:rPr>
          <w:rFonts w:ascii="Arial" w:hAnsi="Arial" w:cs="Arial"/>
          <w:sz w:val="24"/>
          <w:szCs w:val="24"/>
        </w:rPr>
        <w:t xml:space="preserve"> 27/7/2020.</w:t>
      </w:r>
    </w:p>
    <w:p w:rsidR="009820DE" w:rsidRDefault="009820DE" w:rsidP="000073E1">
      <w:pPr>
        <w:spacing w:after="0" w:line="480" w:lineRule="auto"/>
        <w:ind w:left="142" w:hanging="709"/>
        <w:jc w:val="both"/>
        <w:rPr>
          <w:rFonts w:ascii="Arial" w:hAnsi="Arial" w:cs="Arial"/>
          <w:sz w:val="24"/>
          <w:szCs w:val="24"/>
        </w:rPr>
      </w:pPr>
      <w:r>
        <w:rPr>
          <w:rFonts w:ascii="Arial" w:hAnsi="Arial" w:cs="Arial"/>
          <w:sz w:val="24"/>
          <w:szCs w:val="24"/>
        </w:rPr>
        <w:t>4.2</w:t>
      </w:r>
      <w:r>
        <w:rPr>
          <w:rFonts w:ascii="Arial" w:hAnsi="Arial" w:cs="Arial"/>
          <w:sz w:val="24"/>
          <w:szCs w:val="24"/>
        </w:rPr>
        <w:tab/>
        <w:t>My main sequential rebuttal comments on that are set out below:-</w:t>
      </w:r>
    </w:p>
    <w:p w:rsidR="00176431" w:rsidRDefault="009820DE" w:rsidP="000073E1">
      <w:pPr>
        <w:spacing w:after="0" w:line="480" w:lineRule="auto"/>
        <w:ind w:left="142" w:hanging="709"/>
        <w:jc w:val="both"/>
        <w:rPr>
          <w:rFonts w:ascii="Arial" w:hAnsi="Arial" w:cs="Arial"/>
          <w:sz w:val="24"/>
          <w:szCs w:val="24"/>
        </w:rPr>
      </w:pPr>
      <w:r w:rsidRPr="00176431">
        <w:rPr>
          <w:rFonts w:ascii="Arial" w:hAnsi="Arial" w:cs="Arial"/>
          <w:sz w:val="24"/>
          <w:szCs w:val="24"/>
        </w:rPr>
        <w:t>4.3</w:t>
      </w:r>
      <w:r w:rsidRPr="00176431">
        <w:rPr>
          <w:rFonts w:ascii="Arial" w:hAnsi="Arial" w:cs="Arial"/>
          <w:sz w:val="24"/>
          <w:szCs w:val="24"/>
        </w:rPr>
        <w:tab/>
        <w:t>At BNPP’s S.3.6 and S3.7, they</w:t>
      </w:r>
      <w:r w:rsidR="003733E0" w:rsidRPr="00176431">
        <w:rPr>
          <w:rFonts w:ascii="Arial" w:hAnsi="Arial" w:cs="Arial"/>
          <w:sz w:val="24"/>
          <w:szCs w:val="24"/>
        </w:rPr>
        <w:t xml:space="preserve"> </w:t>
      </w:r>
      <w:r w:rsidR="002744CF">
        <w:rPr>
          <w:rFonts w:ascii="Arial" w:hAnsi="Arial" w:cs="Arial"/>
          <w:sz w:val="24"/>
          <w:szCs w:val="24"/>
        </w:rPr>
        <w:t>suggest</w:t>
      </w:r>
      <w:r w:rsidR="00D54E09">
        <w:rPr>
          <w:rFonts w:ascii="Arial" w:hAnsi="Arial" w:cs="Arial"/>
          <w:sz w:val="24"/>
          <w:szCs w:val="24"/>
        </w:rPr>
        <w:t xml:space="preserve"> </w:t>
      </w:r>
      <w:r w:rsidR="003733E0" w:rsidRPr="00176431">
        <w:rPr>
          <w:rFonts w:ascii="Arial" w:hAnsi="Arial" w:cs="Arial"/>
          <w:sz w:val="24"/>
          <w:szCs w:val="24"/>
        </w:rPr>
        <w:t>there are errors surrounding total room areas, ancillary areas and the t</w:t>
      </w:r>
      <w:r w:rsidR="00176431">
        <w:rPr>
          <w:rFonts w:ascii="Arial" w:hAnsi="Arial" w:cs="Arial"/>
          <w:sz w:val="24"/>
          <w:szCs w:val="24"/>
        </w:rPr>
        <w:t>otal GIA of the proposed scheme between the area schedule produced by the architects (Create)</w:t>
      </w:r>
      <w:r w:rsidR="003733E0" w:rsidRPr="00176431">
        <w:rPr>
          <w:rFonts w:ascii="Arial" w:hAnsi="Arial" w:cs="Arial"/>
          <w:sz w:val="24"/>
          <w:szCs w:val="24"/>
        </w:rPr>
        <w:t xml:space="preserve"> </w:t>
      </w:r>
      <w:r w:rsidR="00176431">
        <w:rPr>
          <w:rFonts w:ascii="Arial" w:hAnsi="Arial" w:cs="Arial"/>
          <w:sz w:val="24"/>
          <w:szCs w:val="24"/>
        </w:rPr>
        <w:t>and cost consultants (3-Sphere), both of which were included within the appendices to the Rapleys viability report dated 3/12/2019.</w:t>
      </w:r>
    </w:p>
    <w:p w:rsidR="00176431" w:rsidRDefault="00176431" w:rsidP="000073E1">
      <w:pPr>
        <w:spacing w:after="0" w:line="480" w:lineRule="auto"/>
        <w:ind w:left="142"/>
        <w:jc w:val="both"/>
        <w:rPr>
          <w:rFonts w:ascii="Arial" w:hAnsi="Arial" w:cs="Arial"/>
          <w:sz w:val="24"/>
          <w:szCs w:val="24"/>
        </w:rPr>
      </w:pPr>
      <w:r w:rsidRPr="00176431">
        <w:rPr>
          <w:rFonts w:ascii="Arial" w:hAnsi="Arial" w:cs="Arial"/>
          <w:sz w:val="24"/>
          <w:szCs w:val="24"/>
        </w:rPr>
        <w:t xml:space="preserve">Whilst there was an error in </w:t>
      </w:r>
      <w:r>
        <w:rPr>
          <w:rFonts w:ascii="Arial" w:hAnsi="Arial" w:cs="Arial"/>
          <w:sz w:val="24"/>
          <w:szCs w:val="24"/>
        </w:rPr>
        <w:t>Create’s</w:t>
      </w:r>
      <w:r w:rsidRPr="00176431">
        <w:rPr>
          <w:rFonts w:ascii="Arial" w:hAnsi="Arial" w:cs="Arial"/>
          <w:sz w:val="24"/>
          <w:szCs w:val="24"/>
        </w:rPr>
        <w:t xml:space="preserve"> schedule in terms of the total NIA for the ancillary area, </w:t>
      </w:r>
      <w:r w:rsidR="00F008BB">
        <w:rPr>
          <w:rFonts w:ascii="Arial" w:hAnsi="Arial" w:cs="Arial"/>
          <w:sz w:val="24"/>
          <w:szCs w:val="24"/>
        </w:rPr>
        <w:t xml:space="preserve">this </w:t>
      </w:r>
      <w:r w:rsidRPr="00176431">
        <w:rPr>
          <w:rFonts w:ascii="Arial" w:hAnsi="Arial" w:cs="Arial"/>
          <w:sz w:val="24"/>
          <w:szCs w:val="24"/>
        </w:rPr>
        <w:t xml:space="preserve">had no bearing on the viability assessment carried out by Rapleys because their proposed scheme GDV was driven by the number </w:t>
      </w:r>
      <w:r w:rsidR="00EB6120">
        <w:rPr>
          <w:rFonts w:ascii="Arial" w:hAnsi="Arial" w:cs="Arial"/>
          <w:sz w:val="24"/>
          <w:szCs w:val="24"/>
        </w:rPr>
        <w:t>and</w:t>
      </w:r>
      <w:r w:rsidRPr="00176431">
        <w:rPr>
          <w:rFonts w:ascii="Arial" w:hAnsi="Arial" w:cs="Arial"/>
          <w:sz w:val="24"/>
          <w:szCs w:val="24"/>
        </w:rPr>
        <w:t xml:space="preserve"> average size of the bedrooms. </w:t>
      </w:r>
      <w:r w:rsidR="00F75A5F">
        <w:rPr>
          <w:rFonts w:ascii="Arial" w:hAnsi="Arial" w:cs="Arial"/>
          <w:sz w:val="24"/>
          <w:szCs w:val="24"/>
        </w:rPr>
        <w:t xml:space="preserve">Furthermore, the error had no bearing on the cost assessment carried out by 3-Sphere because the Create </w:t>
      </w:r>
      <w:r>
        <w:rPr>
          <w:rFonts w:ascii="Arial" w:hAnsi="Arial" w:cs="Arial"/>
          <w:sz w:val="24"/>
          <w:szCs w:val="24"/>
        </w:rPr>
        <w:t xml:space="preserve">schedule </w:t>
      </w:r>
      <w:r w:rsidR="00F75A5F">
        <w:rPr>
          <w:rFonts w:ascii="Arial" w:hAnsi="Arial" w:cs="Arial"/>
          <w:sz w:val="24"/>
          <w:szCs w:val="24"/>
        </w:rPr>
        <w:t>within the Rapleys report was</w:t>
      </w:r>
      <w:r>
        <w:rPr>
          <w:rFonts w:ascii="Arial" w:hAnsi="Arial" w:cs="Arial"/>
          <w:sz w:val="24"/>
          <w:szCs w:val="24"/>
        </w:rPr>
        <w:t xml:space="preserve"> out of date and 3-Sphere had based their schedule on what became and remains the correct schedule for the Appeal Scheme.</w:t>
      </w:r>
    </w:p>
    <w:p w:rsidR="00887BC8" w:rsidRDefault="00887BC8">
      <w:pPr>
        <w:rPr>
          <w:rFonts w:ascii="Arial" w:hAnsi="Arial" w:cs="Arial"/>
          <w:sz w:val="24"/>
          <w:szCs w:val="24"/>
        </w:rPr>
      </w:pPr>
      <w:r>
        <w:rPr>
          <w:rFonts w:ascii="Arial" w:hAnsi="Arial" w:cs="Arial"/>
          <w:sz w:val="24"/>
          <w:szCs w:val="24"/>
        </w:rPr>
        <w:br w:type="page"/>
      </w:r>
    </w:p>
    <w:p w:rsidR="00176431" w:rsidRDefault="00176431" w:rsidP="000073E1">
      <w:pPr>
        <w:spacing w:after="0" w:line="480" w:lineRule="auto"/>
        <w:ind w:left="142"/>
        <w:jc w:val="both"/>
        <w:rPr>
          <w:rFonts w:ascii="Arial" w:hAnsi="Arial" w:cs="Arial"/>
          <w:sz w:val="24"/>
          <w:szCs w:val="24"/>
        </w:rPr>
      </w:pPr>
      <w:r>
        <w:rPr>
          <w:rFonts w:ascii="Arial" w:hAnsi="Arial" w:cs="Arial"/>
          <w:sz w:val="24"/>
          <w:szCs w:val="24"/>
        </w:rPr>
        <w:t>BNPP question why Create’s area schedule refers to a “gross floor area” of 3,832</w:t>
      </w:r>
      <w:r w:rsidR="00F75A5F">
        <w:rPr>
          <w:rFonts w:ascii="Arial" w:hAnsi="Arial" w:cs="Arial"/>
          <w:sz w:val="24"/>
          <w:szCs w:val="24"/>
        </w:rPr>
        <w:t xml:space="preserve"> sq.m. </w:t>
      </w:r>
      <w:r>
        <w:rPr>
          <w:rFonts w:ascii="Arial" w:hAnsi="Arial" w:cs="Arial"/>
          <w:sz w:val="24"/>
          <w:szCs w:val="24"/>
        </w:rPr>
        <w:t>whereas the</w:t>
      </w:r>
      <w:r w:rsidR="00F75A5F">
        <w:rPr>
          <w:rFonts w:ascii="Arial" w:hAnsi="Arial" w:cs="Arial"/>
          <w:sz w:val="24"/>
          <w:szCs w:val="24"/>
        </w:rPr>
        <w:t xml:space="preserve"> 3-Sphere schedule reports a total scheme GIA of 4,551.40 sq.m. The answer to this is that, as can be seen from the Create schedule, their total area of what should have been approximately 3,832 sq.m. was </w:t>
      </w:r>
      <w:r w:rsidR="00F75A5F" w:rsidRPr="00F75A5F">
        <w:rPr>
          <w:rFonts w:ascii="Arial" w:hAnsi="Arial" w:cs="Arial"/>
          <w:sz w:val="24"/>
          <w:szCs w:val="24"/>
          <w:u w:val="single"/>
        </w:rPr>
        <w:t>not</w:t>
      </w:r>
      <w:r w:rsidR="00F75A5F">
        <w:rPr>
          <w:rFonts w:ascii="Arial" w:hAnsi="Arial" w:cs="Arial"/>
          <w:sz w:val="24"/>
          <w:szCs w:val="24"/>
        </w:rPr>
        <w:t xml:space="preserve"> a ‘gross floor area’. It was clearly labelled as a NIA which is why it is less than 4,551.40.</w:t>
      </w:r>
      <w:r>
        <w:rPr>
          <w:rFonts w:ascii="Arial" w:hAnsi="Arial" w:cs="Arial"/>
          <w:sz w:val="24"/>
          <w:szCs w:val="24"/>
        </w:rPr>
        <w:t xml:space="preserve"> </w:t>
      </w:r>
      <w:r w:rsidR="00F008BB">
        <w:rPr>
          <w:rFonts w:ascii="Arial" w:hAnsi="Arial" w:cs="Arial"/>
          <w:sz w:val="24"/>
          <w:szCs w:val="24"/>
        </w:rPr>
        <w:t>Furthermore, BNPP’s cost consultant (‘RLF’) have measured the total scheme GIA to be 4,556 sq.m. and so the costs consultants are effectively agreed.</w:t>
      </w:r>
    </w:p>
    <w:p w:rsidR="006A0ECF" w:rsidRDefault="00D54E09" w:rsidP="000073E1">
      <w:pPr>
        <w:spacing w:after="0" w:line="480" w:lineRule="auto"/>
        <w:ind w:left="142"/>
        <w:jc w:val="both"/>
        <w:rPr>
          <w:rFonts w:ascii="Arial" w:hAnsi="Arial" w:cs="Arial"/>
          <w:sz w:val="24"/>
          <w:szCs w:val="24"/>
        </w:rPr>
      </w:pPr>
      <w:r>
        <w:rPr>
          <w:rFonts w:ascii="Arial" w:hAnsi="Arial" w:cs="Arial"/>
          <w:sz w:val="24"/>
          <w:szCs w:val="24"/>
        </w:rPr>
        <w:t>The accommodation schedule in BNPP’s Table 3.4.1</w:t>
      </w:r>
      <w:r w:rsidR="00F008BB">
        <w:rPr>
          <w:rFonts w:ascii="Arial" w:hAnsi="Arial" w:cs="Arial"/>
          <w:sz w:val="24"/>
          <w:szCs w:val="24"/>
        </w:rPr>
        <w:t xml:space="preserve"> does not reflect the correct schedule for the Appeal Scheme.</w:t>
      </w:r>
      <w:r w:rsidR="009D64FA">
        <w:rPr>
          <w:rFonts w:ascii="Arial" w:hAnsi="Arial" w:cs="Arial"/>
          <w:sz w:val="24"/>
          <w:szCs w:val="24"/>
        </w:rPr>
        <w:t xml:space="preserve"> I understand t</w:t>
      </w:r>
      <w:r w:rsidR="00F75A5F">
        <w:rPr>
          <w:rFonts w:ascii="Arial" w:hAnsi="Arial" w:cs="Arial"/>
          <w:sz w:val="24"/>
          <w:szCs w:val="24"/>
        </w:rPr>
        <w:t xml:space="preserve">he correct Appeal Scheme </w:t>
      </w:r>
      <w:r w:rsidR="009D64FA">
        <w:rPr>
          <w:rFonts w:ascii="Arial" w:hAnsi="Arial" w:cs="Arial"/>
          <w:sz w:val="24"/>
          <w:szCs w:val="24"/>
        </w:rPr>
        <w:t>and Appeal Scheme areas</w:t>
      </w:r>
      <w:r w:rsidR="00F75A5F">
        <w:rPr>
          <w:rFonts w:ascii="Arial" w:hAnsi="Arial" w:cs="Arial"/>
          <w:sz w:val="24"/>
          <w:szCs w:val="24"/>
        </w:rPr>
        <w:t xml:space="preserve"> </w:t>
      </w:r>
      <w:r w:rsidR="00EB6120">
        <w:rPr>
          <w:rFonts w:ascii="Arial" w:hAnsi="Arial" w:cs="Arial"/>
          <w:sz w:val="24"/>
          <w:szCs w:val="24"/>
        </w:rPr>
        <w:t xml:space="preserve">(based upon </w:t>
      </w:r>
      <w:r w:rsidR="006A0ECF">
        <w:rPr>
          <w:rFonts w:ascii="Arial" w:hAnsi="Arial" w:cs="Arial"/>
          <w:sz w:val="24"/>
          <w:szCs w:val="24"/>
        </w:rPr>
        <w:t xml:space="preserve">the Appeal Scheme schedule produced by Create dated 14/10/2019 – see </w:t>
      </w:r>
      <w:r w:rsidR="006A0ECF" w:rsidRPr="00FB43CD">
        <w:rPr>
          <w:rFonts w:ascii="Arial" w:hAnsi="Arial" w:cs="Arial"/>
          <w:b/>
          <w:sz w:val="24"/>
          <w:szCs w:val="24"/>
        </w:rPr>
        <w:t xml:space="preserve">Appendix </w:t>
      </w:r>
      <w:r w:rsidR="00D17893">
        <w:rPr>
          <w:rFonts w:ascii="Arial" w:hAnsi="Arial" w:cs="Arial"/>
          <w:b/>
          <w:sz w:val="24"/>
          <w:szCs w:val="24"/>
        </w:rPr>
        <w:t>C</w:t>
      </w:r>
      <w:r w:rsidR="006A0ECF">
        <w:rPr>
          <w:rFonts w:ascii="Arial" w:hAnsi="Arial" w:cs="Arial"/>
          <w:sz w:val="24"/>
          <w:szCs w:val="24"/>
        </w:rPr>
        <w:t>) and the total GIA measurements carried out by 3-Sphere (as effectively corroborated by RLF) are:-</w:t>
      </w:r>
    </w:p>
    <w:tbl>
      <w:tblPr>
        <w:tblStyle w:val="TableGrid"/>
        <w:tblW w:w="10288" w:type="dxa"/>
        <w:tblInd w:w="-431" w:type="dxa"/>
        <w:tblLook w:val="04A0" w:firstRow="1" w:lastRow="0" w:firstColumn="1" w:lastColumn="0" w:noHBand="0" w:noVBand="1"/>
      </w:tblPr>
      <w:tblGrid>
        <w:gridCol w:w="3261"/>
        <w:gridCol w:w="1701"/>
        <w:gridCol w:w="1775"/>
        <w:gridCol w:w="1775"/>
        <w:gridCol w:w="1776"/>
      </w:tblGrid>
      <w:tr w:rsidR="006A0ECF" w:rsidTr="00810C45">
        <w:tc>
          <w:tcPr>
            <w:tcW w:w="3261" w:type="dxa"/>
          </w:tcPr>
          <w:p w:rsidR="006A0ECF" w:rsidRPr="00410110" w:rsidRDefault="006A0ECF" w:rsidP="00176431">
            <w:pPr>
              <w:jc w:val="both"/>
              <w:rPr>
                <w:rFonts w:ascii="Arial" w:hAnsi="Arial" w:cs="Arial"/>
                <w:b/>
                <w:sz w:val="20"/>
                <w:szCs w:val="20"/>
              </w:rPr>
            </w:pPr>
            <w:r w:rsidRPr="00410110">
              <w:rPr>
                <w:rFonts w:ascii="Arial" w:hAnsi="Arial" w:cs="Arial"/>
                <w:b/>
                <w:color w:val="0070C0"/>
                <w:sz w:val="20"/>
                <w:szCs w:val="20"/>
              </w:rPr>
              <w:t>Hostel:-</w:t>
            </w:r>
          </w:p>
        </w:tc>
        <w:tc>
          <w:tcPr>
            <w:tcW w:w="1701" w:type="dxa"/>
            <w:shd w:val="clear" w:color="auto" w:fill="FFFF00"/>
          </w:tcPr>
          <w:p w:rsidR="006A0ECF" w:rsidRPr="00410110" w:rsidRDefault="004B762A" w:rsidP="004B762A">
            <w:pPr>
              <w:jc w:val="right"/>
              <w:rPr>
                <w:rFonts w:ascii="Arial" w:hAnsi="Arial" w:cs="Arial"/>
                <w:b/>
                <w:sz w:val="20"/>
                <w:szCs w:val="20"/>
              </w:rPr>
            </w:pPr>
            <w:r w:rsidRPr="00410110">
              <w:rPr>
                <w:rFonts w:ascii="Arial" w:hAnsi="Arial" w:cs="Arial"/>
                <w:b/>
                <w:sz w:val="20"/>
                <w:szCs w:val="20"/>
              </w:rPr>
              <w:t>Nos</w:t>
            </w:r>
          </w:p>
        </w:tc>
        <w:tc>
          <w:tcPr>
            <w:tcW w:w="1775" w:type="dxa"/>
            <w:shd w:val="clear" w:color="auto" w:fill="FFFF00"/>
          </w:tcPr>
          <w:p w:rsidR="006A0ECF" w:rsidRPr="00410110" w:rsidRDefault="004B762A" w:rsidP="004B762A">
            <w:pPr>
              <w:jc w:val="right"/>
              <w:rPr>
                <w:rFonts w:ascii="Arial" w:hAnsi="Arial" w:cs="Arial"/>
                <w:b/>
                <w:sz w:val="20"/>
                <w:szCs w:val="20"/>
              </w:rPr>
            </w:pPr>
            <w:r w:rsidRPr="00410110">
              <w:rPr>
                <w:rFonts w:ascii="Arial" w:hAnsi="Arial" w:cs="Arial"/>
                <w:b/>
                <w:sz w:val="20"/>
                <w:szCs w:val="20"/>
              </w:rPr>
              <w:t>Average NIA per Bedroom</w:t>
            </w:r>
            <w:r w:rsidR="00410110" w:rsidRPr="00410110">
              <w:rPr>
                <w:rFonts w:ascii="Arial" w:hAnsi="Arial" w:cs="Arial"/>
                <w:b/>
                <w:sz w:val="20"/>
                <w:szCs w:val="20"/>
              </w:rPr>
              <w:t xml:space="preserve"> (sq.m.)</w:t>
            </w:r>
          </w:p>
          <w:p w:rsidR="00410110" w:rsidRPr="00410110" w:rsidRDefault="00410110" w:rsidP="004B762A">
            <w:pPr>
              <w:jc w:val="right"/>
              <w:rPr>
                <w:rFonts w:ascii="Arial" w:hAnsi="Arial" w:cs="Arial"/>
                <w:b/>
                <w:sz w:val="20"/>
                <w:szCs w:val="20"/>
              </w:rPr>
            </w:pPr>
          </w:p>
        </w:tc>
        <w:tc>
          <w:tcPr>
            <w:tcW w:w="1775" w:type="dxa"/>
            <w:shd w:val="clear" w:color="auto" w:fill="FFFF00"/>
          </w:tcPr>
          <w:p w:rsidR="006A0ECF" w:rsidRPr="00410110" w:rsidRDefault="00410110" w:rsidP="004B762A">
            <w:pPr>
              <w:jc w:val="right"/>
              <w:rPr>
                <w:rFonts w:ascii="Arial" w:hAnsi="Arial" w:cs="Arial"/>
                <w:b/>
                <w:sz w:val="20"/>
                <w:szCs w:val="20"/>
              </w:rPr>
            </w:pPr>
            <w:r w:rsidRPr="00410110">
              <w:rPr>
                <w:rFonts w:ascii="Arial" w:hAnsi="Arial" w:cs="Arial"/>
                <w:b/>
                <w:sz w:val="20"/>
                <w:szCs w:val="20"/>
              </w:rPr>
              <w:t>NIA (sq.m.)</w:t>
            </w:r>
          </w:p>
        </w:tc>
        <w:tc>
          <w:tcPr>
            <w:tcW w:w="1776" w:type="dxa"/>
            <w:shd w:val="clear" w:color="auto" w:fill="FFFF00"/>
          </w:tcPr>
          <w:p w:rsidR="006A0ECF" w:rsidRPr="00410110" w:rsidRDefault="00410110" w:rsidP="004B762A">
            <w:pPr>
              <w:jc w:val="right"/>
              <w:rPr>
                <w:rFonts w:ascii="Arial" w:hAnsi="Arial" w:cs="Arial"/>
                <w:b/>
                <w:sz w:val="20"/>
                <w:szCs w:val="20"/>
              </w:rPr>
            </w:pPr>
            <w:r w:rsidRPr="00410110">
              <w:rPr>
                <w:rFonts w:ascii="Arial" w:hAnsi="Arial" w:cs="Arial"/>
                <w:b/>
                <w:sz w:val="20"/>
                <w:szCs w:val="20"/>
              </w:rPr>
              <w:t>Occupants</w:t>
            </w:r>
          </w:p>
        </w:tc>
      </w:tr>
      <w:tr w:rsidR="006A0ECF" w:rsidTr="00810C45">
        <w:tc>
          <w:tcPr>
            <w:tcW w:w="3261" w:type="dxa"/>
          </w:tcPr>
          <w:p w:rsidR="006A0ECF" w:rsidRPr="00410110" w:rsidRDefault="006A0ECF" w:rsidP="00176431">
            <w:pPr>
              <w:jc w:val="both"/>
              <w:rPr>
                <w:rFonts w:ascii="Arial" w:hAnsi="Arial" w:cs="Arial"/>
                <w:sz w:val="20"/>
                <w:szCs w:val="20"/>
              </w:rPr>
            </w:pPr>
            <w:r w:rsidRPr="00410110">
              <w:rPr>
                <w:rFonts w:ascii="Arial" w:hAnsi="Arial" w:cs="Arial"/>
                <w:sz w:val="20"/>
                <w:szCs w:val="20"/>
              </w:rPr>
              <w:t>Single Rooms</w:t>
            </w:r>
          </w:p>
        </w:tc>
        <w:tc>
          <w:tcPr>
            <w:tcW w:w="1701" w:type="dxa"/>
          </w:tcPr>
          <w:p w:rsidR="006A0ECF" w:rsidRPr="00410110" w:rsidRDefault="004B762A" w:rsidP="004B762A">
            <w:pPr>
              <w:jc w:val="right"/>
              <w:rPr>
                <w:rFonts w:ascii="Arial" w:hAnsi="Arial" w:cs="Arial"/>
                <w:sz w:val="20"/>
                <w:szCs w:val="20"/>
              </w:rPr>
            </w:pPr>
            <w:r w:rsidRPr="00410110">
              <w:rPr>
                <w:rFonts w:ascii="Arial" w:hAnsi="Arial" w:cs="Arial"/>
                <w:sz w:val="20"/>
                <w:szCs w:val="20"/>
              </w:rPr>
              <w:t>9</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15.44</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139.00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9</w:t>
            </w:r>
          </w:p>
        </w:tc>
      </w:tr>
      <w:tr w:rsidR="006A0ECF" w:rsidTr="00810C45">
        <w:tc>
          <w:tcPr>
            <w:tcW w:w="3261" w:type="dxa"/>
          </w:tcPr>
          <w:p w:rsidR="006A0ECF" w:rsidRPr="00410110" w:rsidRDefault="00810C45" w:rsidP="00810C45">
            <w:pPr>
              <w:jc w:val="both"/>
              <w:rPr>
                <w:rFonts w:ascii="Arial" w:hAnsi="Arial" w:cs="Arial"/>
                <w:sz w:val="20"/>
                <w:szCs w:val="20"/>
              </w:rPr>
            </w:pPr>
            <w:r>
              <w:rPr>
                <w:rFonts w:ascii="Arial" w:hAnsi="Arial" w:cs="Arial"/>
                <w:sz w:val="20"/>
                <w:szCs w:val="20"/>
              </w:rPr>
              <w:t>Twin</w:t>
            </w:r>
            <w:r w:rsidR="006A0ECF" w:rsidRPr="00410110">
              <w:rPr>
                <w:rFonts w:ascii="Arial" w:hAnsi="Arial" w:cs="Arial"/>
                <w:sz w:val="20"/>
                <w:szCs w:val="20"/>
              </w:rPr>
              <w:t xml:space="preserve"> Rooms</w:t>
            </w:r>
            <w:r>
              <w:rPr>
                <w:rFonts w:ascii="Arial" w:hAnsi="Arial" w:cs="Arial"/>
                <w:sz w:val="20"/>
                <w:szCs w:val="20"/>
              </w:rPr>
              <w:t xml:space="preserve"> (non exclusive)</w:t>
            </w:r>
          </w:p>
        </w:tc>
        <w:tc>
          <w:tcPr>
            <w:tcW w:w="1701" w:type="dxa"/>
          </w:tcPr>
          <w:p w:rsidR="006A0ECF" w:rsidRPr="00410110" w:rsidRDefault="004B762A" w:rsidP="004B762A">
            <w:pPr>
              <w:jc w:val="right"/>
              <w:rPr>
                <w:rFonts w:ascii="Arial" w:hAnsi="Arial" w:cs="Arial"/>
                <w:sz w:val="20"/>
                <w:szCs w:val="20"/>
              </w:rPr>
            </w:pPr>
            <w:r w:rsidRPr="00410110">
              <w:rPr>
                <w:rFonts w:ascii="Arial" w:hAnsi="Arial" w:cs="Arial"/>
                <w:sz w:val="20"/>
                <w:szCs w:val="20"/>
              </w:rPr>
              <w:t>12</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19.13</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229.50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24</w:t>
            </w:r>
          </w:p>
        </w:tc>
      </w:tr>
      <w:tr w:rsidR="006A0ECF" w:rsidTr="00810C45">
        <w:tc>
          <w:tcPr>
            <w:tcW w:w="3261" w:type="dxa"/>
          </w:tcPr>
          <w:p w:rsidR="006A0ECF" w:rsidRPr="00410110" w:rsidRDefault="006A0ECF" w:rsidP="00176431">
            <w:pPr>
              <w:jc w:val="both"/>
              <w:rPr>
                <w:rFonts w:ascii="Arial" w:hAnsi="Arial" w:cs="Arial"/>
                <w:sz w:val="20"/>
                <w:szCs w:val="20"/>
              </w:rPr>
            </w:pPr>
            <w:r w:rsidRPr="00410110">
              <w:rPr>
                <w:rFonts w:ascii="Arial" w:hAnsi="Arial" w:cs="Arial"/>
                <w:sz w:val="20"/>
                <w:szCs w:val="20"/>
              </w:rPr>
              <w:t>Accessible Rooms</w:t>
            </w:r>
            <w:r w:rsidR="00810C45">
              <w:rPr>
                <w:rFonts w:ascii="Arial" w:hAnsi="Arial" w:cs="Arial"/>
                <w:sz w:val="20"/>
                <w:szCs w:val="20"/>
              </w:rPr>
              <w:t xml:space="preserve"> (non exclusive)</w:t>
            </w:r>
          </w:p>
        </w:tc>
        <w:tc>
          <w:tcPr>
            <w:tcW w:w="1701" w:type="dxa"/>
          </w:tcPr>
          <w:p w:rsidR="006A0ECF" w:rsidRPr="00410110" w:rsidRDefault="004B762A" w:rsidP="004B762A">
            <w:pPr>
              <w:jc w:val="right"/>
              <w:rPr>
                <w:rFonts w:ascii="Arial" w:hAnsi="Arial" w:cs="Arial"/>
                <w:sz w:val="20"/>
                <w:szCs w:val="20"/>
              </w:rPr>
            </w:pPr>
            <w:r w:rsidRPr="00410110">
              <w:rPr>
                <w:rFonts w:ascii="Arial" w:hAnsi="Arial" w:cs="Arial"/>
                <w:sz w:val="20"/>
                <w:szCs w:val="20"/>
              </w:rPr>
              <w:t>4</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27.25</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109.00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8</w:t>
            </w:r>
          </w:p>
        </w:tc>
      </w:tr>
      <w:tr w:rsidR="006A0ECF" w:rsidTr="00810C45">
        <w:tc>
          <w:tcPr>
            <w:tcW w:w="3261" w:type="dxa"/>
          </w:tcPr>
          <w:p w:rsidR="006A0ECF" w:rsidRPr="00410110" w:rsidRDefault="006A0ECF" w:rsidP="00176431">
            <w:pPr>
              <w:jc w:val="both"/>
              <w:rPr>
                <w:rFonts w:ascii="Arial" w:hAnsi="Arial" w:cs="Arial"/>
                <w:b/>
                <w:sz w:val="20"/>
                <w:szCs w:val="20"/>
              </w:rPr>
            </w:pPr>
            <w:r w:rsidRPr="00410110">
              <w:rPr>
                <w:rFonts w:ascii="Arial" w:hAnsi="Arial" w:cs="Arial"/>
                <w:b/>
                <w:sz w:val="20"/>
                <w:szCs w:val="20"/>
              </w:rPr>
              <w:t>Totals</w:t>
            </w:r>
          </w:p>
        </w:tc>
        <w:tc>
          <w:tcPr>
            <w:tcW w:w="1701" w:type="dxa"/>
          </w:tcPr>
          <w:p w:rsidR="006A0ECF" w:rsidRPr="00410110" w:rsidRDefault="004B762A" w:rsidP="004B762A">
            <w:pPr>
              <w:jc w:val="right"/>
              <w:rPr>
                <w:rFonts w:ascii="Arial" w:hAnsi="Arial" w:cs="Arial"/>
                <w:b/>
                <w:sz w:val="20"/>
                <w:szCs w:val="20"/>
              </w:rPr>
            </w:pPr>
            <w:r w:rsidRPr="00410110">
              <w:rPr>
                <w:rFonts w:ascii="Arial" w:hAnsi="Arial" w:cs="Arial"/>
                <w:b/>
                <w:sz w:val="20"/>
                <w:szCs w:val="20"/>
              </w:rPr>
              <w:t>25</w:t>
            </w:r>
          </w:p>
        </w:tc>
        <w:tc>
          <w:tcPr>
            <w:tcW w:w="1775" w:type="dxa"/>
          </w:tcPr>
          <w:p w:rsidR="006A0ECF" w:rsidRPr="00410110" w:rsidRDefault="00A94889" w:rsidP="004B762A">
            <w:pPr>
              <w:jc w:val="right"/>
              <w:rPr>
                <w:rFonts w:ascii="Arial" w:hAnsi="Arial" w:cs="Arial"/>
                <w:b/>
                <w:sz w:val="20"/>
                <w:szCs w:val="20"/>
              </w:rPr>
            </w:pPr>
            <w:r>
              <w:rPr>
                <w:rFonts w:ascii="Arial" w:hAnsi="Arial" w:cs="Arial"/>
                <w:b/>
                <w:sz w:val="20"/>
                <w:szCs w:val="20"/>
              </w:rPr>
              <w:t>19.10</w:t>
            </w:r>
          </w:p>
        </w:tc>
        <w:tc>
          <w:tcPr>
            <w:tcW w:w="1775" w:type="dxa"/>
          </w:tcPr>
          <w:p w:rsidR="006A0ECF" w:rsidRPr="00410110" w:rsidRDefault="00410110" w:rsidP="004B762A">
            <w:pPr>
              <w:jc w:val="right"/>
              <w:rPr>
                <w:rFonts w:ascii="Arial" w:hAnsi="Arial" w:cs="Arial"/>
                <w:b/>
                <w:sz w:val="20"/>
                <w:szCs w:val="20"/>
              </w:rPr>
            </w:pPr>
            <w:r>
              <w:rPr>
                <w:rFonts w:ascii="Arial" w:hAnsi="Arial" w:cs="Arial"/>
                <w:b/>
                <w:sz w:val="20"/>
                <w:szCs w:val="20"/>
              </w:rPr>
              <w:t>477.50</w:t>
            </w:r>
          </w:p>
        </w:tc>
        <w:tc>
          <w:tcPr>
            <w:tcW w:w="1776" w:type="dxa"/>
          </w:tcPr>
          <w:p w:rsidR="006A0ECF" w:rsidRPr="00410110" w:rsidRDefault="00410110" w:rsidP="004B762A">
            <w:pPr>
              <w:jc w:val="right"/>
              <w:rPr>
                <w:rFonts w:ascii="Arial" w:hAnsi="Arial" w:cs="Arial"/>
                <w:b/>
                <w:sz w:val="20"/>
                <w:szCs w:val="20"/>
              </w:rPr>
            </w:pPr>
            <w:r>
              <w:rPr>
                <w:rFonts w:ascii="Arial" w:hAnsi="Arial" w:cs="Arial"/>
                <w:b/>
                <w:sz w:val="20"/>
                <w:szCs w:val="20"/>
              </w:rPr>
              <w:t>41</w:t>
            </w:r>
          </w:p>
        </w:tc>
      </w:tr>
      <w:tr w:rsidR="006A0ECF" w:rsidTr="00810C45">
        <w:tc>
          <w:tcPr>
            <w:tcW w:w="3261" w:type="dxa"/>
          </w:tcPr>
          <w:p w:rsidR="006A0ECF" w:rsidRPr="00410110" w:rsidRDefault="006A0ECF" w:rsidP="00176431">
            <w:pPr>
              <w:jc w:val="both"/>
              <w:rPr>
                <w:rFonts w:ascii="Arial" w:hAnsi="Arial" w:cs="Arial"/>
                <w:sz w:val="20"/>
                <w:szCs w:val="20"/>
              </w:rPr>
            </w:pPr>
          </w:p>
        </w:tc>
        <w:tc>
          <w:tcPr>
            <w:tcW w:w="1701" w:type="dxa"/>
          </w:tcPr>
          <w:p w:rsidR="006A0ECF" w:rsidRPr="00410110" w:rsidRDefault="006A0ECF" w:rsidP="004B762A">
            <w:pPr>
              <w:jc w:val="right"/>
              <w:rPr>
                <w:rFonts w:ascii="Arial" w:hAnsi="Arial" w:cs="Arial"/>
                <w:sz w:val="20"/>
                <w:szCs w:val="20"/>
              </w:rPr>
            </w:pPr>
          </w:p>
        </w:tc>
        <w:tc>
          <w:tcPr>
            <w:tcW w:w="1775" w:type="dxa"/>
          </w:tcPr>
          <w:p w:rsidR="006A0ECF" w:rsidRPr="00410110" w:rsidRDefault="006A0ECF" w:rsidP="004B762A">
            <w:pPr>
              <w:jc w:val="right"/>
              <w:rPr>
                <w:rFonts w:ascii="Arial" w:hAnsi="Arial" w:cs="Arial"/>
                <w:sz w:val="20"/>
                <w:szCs w:val="20"/>
              </w:rPr>
            </w:pPr>
          </w:p>
        </w:tc>
        <w:tc>
          <w:tcPr>
            <w:tcW w:w="1775" w:type="dxa"/>
          </w:tcPr>
          <w:p w:rsidR="006A0ECF" w:rsidRPr="00410110" w:rsidRDefault="006A0ECF" w:rsidP="004B762A">
            <w:pPr>
              <w:jc w:val="right"/>
              <w:rPr>
                <w:rFonts w:ascii="Arial" w:hAnsi="Arial" w:cs="Arial"/>
                <w:sz w:val="20"/>
                <w:szCs w:val="20"/>
              </w:rPr>
            </w:pPr>
          </w:p>
        </w:tc>
        <w:tc>
          <w:tcPr>
            <w:tcW w:w="1776" w:type="dxa"/>
          </w:tcPr>
          <w:p w:rsidR="006A0ECF" w:rsidRPr="00410110" w:rsidRDefault="006A0ECF" w:rsidP="004B762A">
            <w:pPr>
              <w:jc w:val="right"/>
              <w:rPr>
                <w:rFonts w:ascii="Arial" w:hAnsi="Arial" w:cs="Arial"/>
                <w:sz w:val="20"/>
                <w:szCs w:val="20"/>
              </w:rPr>
            </w:pPr>
          </w:p>
        </w:tc>
      </w:tr>
      <w:tr w:rsidR="00410110" w:rsidTr="00810C45">
        <w:tc>
          <w:tcPr>
            <w:tcW w:w="3261" w:type="dxa"/>
          </w:tcPr>
          <w:p w:rsidR="00410110" w:rsidRPr="00410110" w:rsidRDefault="00410110" w:rsidP="00410110">
            <w:pPr>
              <w:jc w:val="both"/>
              <w:rPr>
                <w:rFonts w:ascii="Arial" w:hAnsi="Arial" w:cs="Arial"/>
                <w:b/>
                <w:sz w:val="20"/>
                <w:szCs w:val="20"/>
              </w:rPr>
            </w:pPr>
            <w:r w:rsidRPr="00410110">
              <w:rPr>
                <w:rFonts w:ascii="Arial" w:hAnsi="Arial" w:cs="Arial"/>
                <w:b/>
                <w:color w:val="0070C0"/>
                <w:sz w:val="20"/>
                <w:szCs w:val="20"/>
              </w:rPr>
              <w:t>HMO:-</w:t>
            </w:r>
          </w:p>
        </w:tc>
        <w:tc>
          <w:tcPr>
            <w:tcW w:w="1701" w:type="dxa"/>
            <w:shd w:val="clear" w:color="auto" w:fill="FFFF00"/>
          </w:tcPr>
          <w:p w:rsidR="00410110" w:rsidRPr="00410110" w:rsidRDefault="00410110" w:rsidP="00410110">
            <w:pPr>
              <w:jc w:val="right"/>
              <w:rPr>
                <w:rFonts w:ascii="Arial" w:hAnsi="Arial" w:cs="Arial"/>
                <w:b/>
                <w:sz w:val="20"/>
                <w:szCs w:val="20"/>
              </w:rPr>
            </w:pPr>
            <w:r w:rsidRPr="00410110">
              <w:rPr>
                <w:rFonts w:ascii="Arial" w:hAnsi="Arial" w:cs="Arial"/>
                <w:b/>
                <w:sz w:val="20"/>
                <w:szCs w:val="20"/>
              </w:rPr>
              <w:t>Nos</w:t>
            </w:r>
          </w:p>
        </w:tc>
        <w:tc>
          <w:tcPr>
            <w:tcW w:w="1775" w:type="dxa"/>
            <w:shd w:val="clear" w:color="auto" w:fill="FFFF00"/>
          </w:tcPr>
          <w:p w:rsidR="00410110" w:rsidRPr="00410110" w:rsidRDefault="00410110" w:rsidP="00410110">
            <w:pPr>
              <w:jc w:val="right"/>
              <w:rPr>
                <w:rFonts w:ascii="Arial" w:hAnsi="Arial" w:cs="Arial"/>
                <w:b/>
                <w:sz w:val="20"/>
                <w:szCs w:val="20"/>
              </w:rPr>
            </w:pPr>
            <w:r w:rsidRPr="00410110">
              <w:rPr>
                <w:rFonts w:ascii="Arial" w:hAnsi="Arial" w:cs="Arial"/>
                <w:b/>
                <w:sz w:val="20"/>
                <w:szCs w:val="20"/>
              </w:rPr>
              <w:t>Average NIA per Bedroom (sq.m.)</w:t>
            </w:r>
          </w:p>
          <w:p w:rsidR="00410110" w:rsidRPr="00410110" w:rsidRDefault="00410110" w:rsidP="00410110">
            <w:pPr>
              <w:jc w:val="right"/>
              <w:rPr>
                <w:rFonts w:ascii="Arial" w:hAnsi="Arial" w:cs="Arial"/>
                <w:b/>
                <w:sz w:val="20"/>
                <w:szCs w:val="20"/>
              </w:rPr>
            </w:pPr>
          </w:p>
        </w:tc>
        <w:tc>
          <w:tcPr>
            <w:tcW w:w="1775" w:type="dxa"/>
            <w:shd w:val="clear" w:color="auto" w:fill="FFFF00"/>
          </w:tcPr>
          <w:p w:rsidR="00410110" w:rsidRPr="00410110" w:rsidRDefault="00410110" w:rsidP="00410110">
            <w:pPr>
              <w:jc w:val="right"/>
              <w:rPr>
                <w:rFonts w:ascii="Arial" w:hAnsi="Arial" w:cs="Arial"/>
                <w:b/>
                <w:sz w:val="20"/>
                <w:szCs w:val="20"/>
              </w:rPr>
            </w:pPr>
            <w:r w:rsidRPr="00410110">
              <w:rPr>
                <w:rFonts w:ascii="Arial" w:hAnsi="Arial" w:cs="Arial"/>
                <w:b/>
                <w:sz w:val="20"/>
                <w:szCs w:val="20"/>
              </w:rPr>
              <w:t>NIA (sq.m.)</w:t>
            </w:r>
          </w:p>
        </w:tc>
        <w:tc>
          <w:tcPr>
            <w:tcW w:w="1776" w:type="dxa"/>
            <w:shd w:val="clear" w:color="auto" w:fill="FFFF00"/>
          </w:tcPr>
          <w:p w:rsidR="00410110" w:rsidRPr="00410110" w:rsidRDefault="00410110" w:rsidP="00410110">
            <w:pPr>
              <w:jc w:val="right"/>
              <w:rPr>
                <w:rFonts w:ascii="Arial" w:hAnsi="Arial" w:cs="Arial"/>
                <w:b/>
                <w:sz w:val="20"/>
                <w:szCs w:val="20"/>
              </w:rPr>
            </w:pPr>
            <w:r w:rsidRPr="00410110">
              <w:rPr>
                <w:rFonts w:ascii="Arial" w:hAnsi="Arial" w:cs="Arial"/>
                <w:b/>
                <w:sz w:val="20"/>
                <w:szCs w:val="20"/>
              </w:rPr>
              <w:t>Occupants</w:t>
            </w:r>
          </w:p>
        </w:tc>
      </w:tr>
      <w:tr w:rsidR="006A0ECF" w:rsidTr="00810C45">
        <w:tc>
          <w:tcPr>
            <w:tcW w:w="3261" w:type="dxa"/>
          </w:tcPr>
          <w:p w:rsidR="006A0ECF" w:rsidRPr="00410110" w:rsidRDefault="006A0ECF" w:rsidP="006A0ECF">
            <w:pPr>
              <w:jc w:val="both"/>
              <w:rPr>
                <w:rFonts w:ascii="Arial" w:hAnsi="Arial" w:cs="Arial"/>
                <w:sz w:val="20"/>
                <w:szCs w:val="20"/>
              </w:rPr>
            </w:pPr>
            <w:r w:rsidRPr="00410110">
              <w:rPr>
                <w:rFonts w:ascii="Arial" w:hAnsi="Arial" w:cs="Arial"/>
                <w:sz w:val="20"/>
                <w:szCs w:val="20"/>
              </w:rPr>
              <w:t>Single Rooms</w:t>
            </w:r>
          </w:p>
        </w:tc>
        <w:tc>
          <w:tcPr>
            <w:tcW w:w="1701" w:type="dxa"/>
          </w:tcPr>
          <w:p w:rsidR="006A0ECF" w:rsidRPr="00410110" w:rsidRDefault="00410110" w:rsidP="004B762A">
            <w:pPr>
              <w:jc w:val="right"/>
              <w:rPr>
                <w:rFonts w:ascii="Arial" w:hAnsi="Arial" w:cs="Arial"/>
                <w:sz w:val="20"/>
                <w:szCs w:val="20"/>
              </w:rPr>
            </w:pPr>
            <w:r>
              <w:rPr>
                <w:rFonts w:ascii="Arial" w:hAnsi="Arial" w:cs="Arial"/>
                <w:sz w:val="20"/>
                <w:szCs w:val="20"/>
              </w:rPr>
              <w:t>24</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15.35</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368.50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24</w:t>
            </w:r>
          </w:p>
        </w:tc>
      </w:tr>
      <w:tr w:rsidR="006A0ECF" w:rsidTr="00810C45">
        <w:tc>
          <w:tcPr>
            <w:tcW w:w="3261" w:type="dxa"/>
          </w:tcPr>
          <w:p w:rsidR="006A0ECF" w:rsidRPr="00410110" w:rsidRDefault="006A0ECF" w:rsidP="006A0ECF">
            <w:pPr>
              <w:jc w:val="both"/>
              <w:rPr>
                <w:rFonts w:ascii="Arial" w:hAnsi="Arial" w:cs="Arial"/>
                <w:sz w:val="20"/>
                <w:szCs w:val="20"/>
              </w:rPr>
            </w:pPr>
            <w:r w:rsidRPr="00410110">
              <w:rPr>
                <w:rFonts w:ascii="Arial" w:hAnsi="Arial" w:cs="Arial"/>
                <w:sz w:val="20"/>
                <w:szCs w:val="20"/>
              </w:rPr>
              <w:t xml:space="preserve">Double </w:t>
            </w:r>
            <w:r w:rsidR="00810C45">
              <w:rPr>
                <w:rFonts w:ascii="Arial" w:hAnsi="Arial" w:cs="Arial"/>
                <w:sz w:val="20"/>
                <w:szCs w:val="20"/>
              </w:rPr>
              <w:t xml:space="preserve">Bedded </w:t>
            </w:r>
            <w:r w:rsidRPr="00410110">
              <w:rPr>
                <w:rFonts w:ascii="Arial" w:hAnsi="Arial" w:cs="Arial"/>
                <w:sz w:val="20"/>
                <w:szCs w:val="20"/>
              </w:rPr>
              <w:t>Rooms</w:t>
            </w:r>
          </w:p>
        </w:tc>
        <w:tc>
          <w:tcPr>
            <w:tcW w:w="1701" w:type="dxa"/>
          </w:tcPr>
          <w:p w:rsidR="006A0ECF" w:rsidRPr="00410110" w:rsidRDefault="00410110" w:rsidP="004B762A">
            <w:pPr>
              <w:jc w:val="right"/>
              <w:rPr>
                <w:rFonts w:ascii="Arial" w:hAnsi="Arial" w:cs="Arial"/>
                <w:sz w:val="20"/>
                <w:szCs w:val="20"/>
              </w:rPr>
            </w:pPr>
            <w:r>
              <w:rPr>
                <w:rFonts w:ascii="Arial" w:hAnsi="Arial" w:cs="Arial"/>
                <w:sz w:val="20"/>
                <w:szCs w:val="20"/>
              </w:rPr>
              <w:t>52</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19.42</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1,010.00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104</w:t>
            </w:r>
          </w:p>
        </w:tc>
      </w:tr>
      <w:tr w:rsidR="006A0ECF" w:rsidTr="00810C45">
        <w:tc>
          <w:tcPr>
            <w:tcW w:w="3261" w:type="dxa"/>
          </w:tcPr>
          <w:p w:rsidR="006A0ECF" w:rsidRPr="00410110" w:rsidRDefault="006A0ECF" w:rsidP="006A0ECF">
            <w:pPr>
              <w:jc w:val="both"/>
              <w:rPr>
                <w:rFonts w:ascii="Arial" w:hAnsi="Arial" w:cs="Arial"/>
                <w:sz w:val="20"/>
                <w:szCs w:val="20"/>
              </w:rPr>
            </w:pPr>
            <w:r w:rsidRPr="00410110">
              <w:rPr>
                <w:rFonts w:ascii="Arial" w:hAnsi="Arial" w:cs="Arial"/>
                <w:sz w:val="20"/>
                <w:szCs w:val="20"/>
              </w:rPr>
              <w:t>Accessible Rooms</w:t>
            </w:r>
          </w:p>
        </w:tc>
        <w:tc>
          <w:tcPr>
            <w:tcW w:w="1701" w:type="dxa"/>
          </w:tcPr>
          <w:p w:rsidR="006A0ECF" w:rsidRPr="00410110" w:rsidRDefault="00410110" w:rsidP="004B762A">
            <w:pPr>
              <w:jc w:val="right"/>
              <w:rPr>
                <w:rFonts w:ascii="Arial" w:hAnsi="Arial" w:cs="Arial"/>
                <w:sz w:val="20"/>
                <w:szCs w:val="20"/>
              </w:rPr>
            </w:pPr>
            <w:r>
              <w:rPr>
                <w:rFonts w:ascii="Arial" w:hAnsi="Arial" w:cs="Arial"/>
                <w:sz w:val="20"/>
                <w:szCs w:val="20"/>
              </w:rPr>
              <w:t>8</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25.56</w:t>
            </w:r>
          </w:p>
        </w:tc>
        <w:tc>
          <w:tcPr>
            <w:tcW w:w="1775" w:type="dxa"/>
          </w:tcPr>
          <w:p w:rsidR="006A0ECF" w:rsidRPr="00410110" w:rsidRDefault="00410110" w:rsidP="004B762A">
            <w:pPr>
              <w:jc w:val="right"/>
              <w:rPr>
                <w:rFonts w:ascii="Arial" w:hAnsi="Arial" w:cs="Arial"/>
                <w:sz w:val="20"/>
                <w:szCs w:val="20"/>
              </w:rPr>
            </w:pPr>
            <w:r>
              <w:rPr>
                <w:rFonts w:ascii="Arial" w:hAnsi="Arial" w:cs="Arial"/>
                <w:sz w:val="20"/>
                <w:szCs w:val="20"/>
              </w:rPr>
              <w:t>204.50</w:t>
            </w:r>
          </w:p>
        </w:tc>
        <w:tc>
          <w:tcPr>
            <w:tcW w:w="1776" w:type="dxa"/>
          </w:tcPr>
          <w:p w:rsidR="006A0ECF" w:rsidRPr="00410110" w:rsidRDefault="00410110" w:rsidP="004B762A">
            <w:pPr>
              <w:jc w:val="right"/>
              <w:rPr>
                <w:rFonts w:ascii="Arial" w:hAnsi="Arial" w:cs="Arial"/>
                <w:sz w:val="20"/>
                <w:szCs w:val="20"/>
              </w:rPr>
            </w:pPr>
            <w:r>
              <w:rPr>
                <w:rFonts w:ascii="Arial" w:hAnsi="Arial" w:cs="Arial"/>
                <w:sz w:val="20"/>
                <w:szCs w:val="20"/>
              </w:rPr>
              <w:t>16</w:t>
            </w:r>
          </w:p>
        </w:tc>
      </w:tr>
      <w:tr w:rsidR="006A0ECF" w:rsidTr="00810C45">
        <w:tc>
          <w:tcPr>
            <w:tcW w:w="3261" w:type="dxa"/>
          </w:tcPr>
          <w:p w:rsidR="006A0ECF" w:rsidRPr="00410110" w:rsidRDefault="006A0ECF" w:rsidP="006A0ECF">
            <w:pPr>
              <w:jc w:val="both"/>
              <w:rPr>
                <w:rFonts w:ascii="Arial" w:hAnsi="Arial" w:cs="Arial"/>
                <w:b/>
                <w:sz w:val="20"/>
                <w:szCs w:val="20"/>
              </w:rPr>
            </w:pPr>
            <w:r w:rsidRPr="00410110">
              <w:rPr>
                <w:rFonts w:ascii="Arial" w:hAnsi="Arial" w:cs="Arial"/>
                <w:b/>
                <w:sz w:val="20"/>
                <w:szCs w:val="20"/>
              </w:rPr>
              <w:t>Totals</w:t>
            </w:r>
          </w:p>
        </w:tc>
        <w:tc>
          <w:tcPr>
            <w:tcW w:w="1701" w:type="dxa"/>
          </w:tcPr>
          <w:p w:rsidR="006A0ECF" w:rsidRPr="00410110" w:rsidRDefault="00410110" w:rsidP="004B762A">
            <w:pPr>
              <w:jc w:val="right"/>
              <w:rPr>
                <w:rFonts w:ascii="Arial" w:hAnsi="Arial" w:cs="Arial"/>
                <w:b/>
                <w:sz w:val="20"/>
                <w:szCs w:val="20"/>
              </w:rPr>
            </w:pPr>
            <w:r>
              <w:rPr>
                <w:rFonts w:ascii="Arial" w:hAnsi="Arial" w:cs="Arial"/>
                <w:b/>
                <w:sz w:val="20"/>
                <w:szCs w:val="20"/>
              </w:rPr>
              <w:t>84</w:t>
            </w:r>
          </w:p>
        </w:tc>
        <w:tc>
          <w:tcPr>
            <w:tcW w:w="1775" w:type="dxa"/>
          </w:tcPr>
          <w:p w:rsidR="006A0ECF" w:rsidRPr="00410110" w:rsidRDefault="00A94889" w:rsidP="004B762A">
            <w:pPr>
              <w:jc w:val="right"/>
              <w:rPr>
                <w:rFonts w:ascii="Arial" w:hAnsi="Arial" w:cs="Arial"/>
                <w:b/>
                <w:sz w:val="20"/>
                <w:szCs w:val="20"/>
              </w:rPr>
            </w:pPr>
            <w:r>
              <w:rPr>
                <w:rFonts w:ascii="Arial" w:hAnsi="Arial" w:cs="Arial"/>
                <w:b/>
                <w:sz w:val="20"/>
                <w:szCs w:val="20"/>
              </w:rPr>
              <w:t>18.85</w:t>
            </w:r>
          </w:p>
        </w:tc>
        <w:tc>
          <w:tcPr>
            <w:tcW w:w="1775" w:type="dxa"/>
          </w:tcPr>
          <w:p w:rsidR="006A0ECF" w:rsidRPr="00410110" w:rsidRDefault="00410110" w:rsidP="004B762A">
            <w:pPr>
              <w:jc w:val="right"/>
              <w:rPr>
                <w:rFonts w:ascii="Arial" w:hAnsi="Arial" w:cs="Arial"/>
                <w:b/>
                <w:sz w:val="20"/>
                <w:szCs w:val="20"/>
              </w:rPr>
            </w:pPr>
            <w:r>
              <w:rPr>
                <w:rFonts w:ascii="Arial" w:hAnsi="Arial" w:cs="Arial"/>
                <w:b/>
                <w:sz w:val="20"/>
                <w:szCs w:val="20"/>
              </w:rPr>
              <w:t>1,583.00</w:t>
            </w:r>
          </w:p>
        </w:tc>
        <w:tc>
          <w:tcPr>
            <w:tcW w:w="1776" w:type="dxa"/>
          </w:tcPr>
          <w:p w:rsidR="006A0ECF" w:rsidRPr="00410110" w:rsidRDefault="00410110" w:rsidP="004B762A">
            <w:pPr>
              <w:jc w:val="right"/>
              <w:rPr>
                <w:rFonts w:ascii="Arial" w:hAnsi="Arial" w:cs="Arial"/>
                <w:b/>
                <w:sz w:val="20"/>
                <w:szCs w:val="20"/>
              </w:rPr>
            </w:pPr>
            <w:r>
              <w:rPr>
                <w:rFonts w:ascii="Arial" w:hAnsi="Arial" w:cs="Arial"/>
                <w:b/>
                <w:sz w:val="20"/>
                <w:szCs w:val="20"/>
              </w:rPr>
              <w:t>144</w:t>
            </w:r>
          </w:p>
        </w:tc>
      </w:tr>
      <w:tr w:rsidR="004B762A" w:rsidTr="00810C45">
        <w:tc>
          <w:tcPr>
            <w:tcW w:w="3261" w:type="dxa"/>
          </w:tcPr>
          <w:p w:rsidR="004B762A" w:rsidRPr="00410110" w:rsidRDefault="004B762A" w:rsidP="006A0ECF">
            <w:pPr>
              <w:jc w:val="both"/>
              <w:rPr>
                <w:rFonts w:ascii="Arial" w:hAnsi="Arial" w:cs="Arial"/>
                <w:b/>
                <w:sz w:val="20"/>
                <w:szCs w:val="20"/>
              </w:rPr>
            </w:pPr>
          </w:p>
        </w:tc>
        <w:tc>
          <w:tcPr>
            <w:tcW w:w="1701" w:type="dxa"/>
          </w:tcPr>
          <w:p w:rsidR="004B762A" w:rsidRPr="00410110" w:rsidRDefault="004B762A" w:rsidP="004B762A">
            <w:pPr>
              <w:jc w:val="right"/>
              <w:rPr>
                <w:rFonts w:ascii="Arial" w:hAnsi="Arial" w:cs="Arial"/>
                <w:b/>
                <w:sz w:val="20"/>
                <w:szCs w:val="20"/>
              </w:rPr>
            </w:pPr>
          </w:p>
        </w:tc>
        <w:tc>
          <w:tcPr>
            <w:tcW w:w="1775" w:type="dxa"/>
          </w:tcPr>
          <w:p w:rsidR="004B762A" w:rsidRPr="00410110" w:rsidRDefault="004B762A" w:rsidP="004B762A">
            <w:pPr>
              <w:jc w:val="right"/>
              <w:rPr>
                <w:rFonts w:ascii="Arial" w:hAnsi="Arial" w:cs="Arial"/>
                <w:b/>
                <w:sz w:val="20"/>
                <w:szCs w:val="20"/>
              </w:rPr>
            </w:pPr>
          </w:p>
        </w:tc>
        <w:tc>
          <w:tcPr>
            <w:tcW w:w="1775" w:type="dxa"/>
          </w:tcPr>
          <w:p w:rsidR="004B762A" w:rsidRPr="00410110" w:rsidRDefault="004B762A" w:rsidP="004B762A">
            <w:pPr>
              <w:jc w:val="right"/>
              <w:rPr>
                <w:rFonts w:ascii="Arial" w:hAnsi="Arial" w:cs="Arial"/>
                <w:b/>
                <w:sz w:val="20"/>
                <w:szCs w:val="20"/>
              </w:rPr>
            </w:pPr>
          </w:p>
        </w:tc>
        <w:tc>
          <w:tcPr>
            <w:tcW w:w="1776" w:type="dxa"/>
          </w:tcPr>
          <w:p w:rsidR="004B762A" w:rsidRPr="00410110" w:rsidRDefault="004B762A" w:rsidP="004B762A">
            <w:pPr>
              <w:jc w:val="right"/>
              <w:rPr>
                <w:rFonts w:ascii="Arial" w:hAnsi="Arial" w:cs="Arial"/>
                <w:b/>
                <w:sz w:val="20"/>
                <w:szCs w:val="20"/>
              </w:rPr>
            </w:pPr>
          </w:p>
        </w:tc>
      </w:tr>
      <w:tr w:rsidR="004B762A" w:rsidTr="00810C45">
        <w:tc>
          <w:tcPr>
            <w:tcW w:w="3261" w:type="dxa"/>
          </w:tcPr>
          <w:p w:rsidR="004B762A" w:rsidRPr="00410110" w:rsidRDefault="004B762A" w:rsidP="006A0ECF">
            <w:pPr>
              <w:jc w:val="both"/>
              <w:rPr>
                <w:rFonts w:ascii="Arial" w:hAnsi="Arial" w:cs="Arial"/>
                <w:b/>
                <w:sz w:val="20"/>
                <w:szCs w:val="20"/>
              </w:rPr>
            </w:pPr>
            <w:r w:rsidRPr="00410110">
              <w:rPr>
                <w:rFonts w:ascii="Arial" w:hAnsi="Arial" w:cs="Arial"/>
                <w:b/>
                <w:sz w:val="20"/>
                <w:szCs w:val="20"/>
              </w:rPr>
              <w:t xml:space="preserve">Total Scheme GIA = </w:t>
            </w:r>
          </w:p>
        </w:tc>
        <w:tc>
          <w:tcPr>
            <w:tcW w:w="1701" w:type="dxa"/>
          </w:tcPr>
          <w:p w:rsidR="004B762A" w:rsidRPr="00410110" w:rsidRDefault="00410110" w:rsidP="00410110">
            <w:pPr>
              <w:jc w:val="right"/>
              <w:rPr>
                <w:rFonts w:ascii="Arial" w:hAnsi="Arial" w:cs="Arial"/>
                <w:b/>
                <w:sz w:val="20"/>
                <w:szCs w:val="20"/>
              </w:rPr>
            </w:pPr>
            <w:r w:rsidRPr="00410110">
              <w:rPr>
                <w:rFonts w:ascii="Arial" w:hAnsi="Arial" w:cs="Arial"/>
                <w:b/>
                <w:sz w:val="20"/>
                <w:szCs w:val="20"/>
              </w:rPr>
              <w:t xml:space="preserve">4,551.40 sq.m. </w:t>
            </w:r>
          </w:p>
        </w:tc>
        <w:tc>
          <w:tcPr>
            <w:tcW w:w="1775" w:type="dxa"/>
          </w:tcPr>
          <w:p w:rsidR="004B762A" w:rsidRPr="00410110" w:rsidRDefault="004B762A" w:rsidP="004B762A">
            <w:pPr>
              <w:jc w:val="right"/>
              <w:rPr>
                <w:rFonts w:ascii="Arial" w:hAnsi="Arial" w:cs="Arial"/>
                <w:b/>
                <w:sz w:val="20"/>
                <w:szCs w:val="20"/>
              </w:rPr>
            </w:pPr>
          </w:p>
        </w:tc>
        <w:tc>
          <w:tcPr>
            <w:tcW w:w="1775" w:type="dxa"/>
          </w:tcPr>
          <w:p w:rsidR="004B762A" w:rsidRPr="00410110" w:rsidRDefault="004B762A" w:rsidP="004B762A">
            <w:pPr>
              <w:jc w:val="right"/>
              <w:rPr>
                <w:rFonts w:ascii="Arial" w:hAnsi="Arial" w:cs="Arial"/>
                <w:b/>
                <w:sz w:val="20"/>
                <w:szCs w:val="20"/>
              </w:rPr>
            </w:pPr>
          </w:p>
        </w:tc>
        <w:tc>
          <w:tcPr>
            <w:tcW w:w="1776" w:type="dxa"/>
          </w:tcPr>
          <w:p w:rsidR="004B762A" w:rsidRPr="00410110" w:rsidRDefault="004B762A" w:rsidP="004B762A">
            <w:pPr>
              <w:jc w:val="right"/>
              <w:rPr>
                <w:rFonts w:ascii="Arial" w:hAnsi="Arial" w:cs="Arial"/>
                <w:b/>
                <w:sz w:val="20"/>
                <w:szCs w:val="20"/>
              </w:rPr>
            </w:pPr>
          </w:p>
        </w:tc>
      </w:tr>
    </w:tbl>
    <w:p w:rsidR="00F75A5F" w:rsidRDefault="00F75A5F" w:rsidP="00176431">
      <w:pPr>
        <w:ind w:left="142"/>
        <w:jc w:val="both"/>
        <w:rPr>
          <w:rFonts w:ascii="Arial" w:hAnsi="Arial" w:cs="Arial"/>
          <w:sz w:val="24"/>
          <w:szCs w:val="24"/>
        </w:rPr>
      </w:pPr>
    </w:p>
    <w:p w:rsidR="00362DA8" w:rsidRDefault="00362DA8">
      <w:pPr>
        <w:rPr>
          <w:rFonts w:ascii="Arial" w:hAnsi="Arial" w:cs="Arial"/>
          <w:sz w:val="24"/>
          <w:szCs w:val="24"/>
        </w:rPr>
      </w:pPr>
      <w:r>
        <w:rPr>
          <w:rFonts w:ascii="Arial" w:hAnsi="Arial" w:cs="Arial"/>
          <w:sz w:val="24"/>
          <w:szCs w:val="24"/>
        </w:rPr>
        <w:br w:type="page"/>
      </w:r>
    </w:p>
    <w:p w:rsidR="00F75A5F" w:rsidRDefault="00F75A5F" w:rsidP="000073E1">
      <w:pPr>
        <w:spacing w:after="0" w:line="480" w:lineRule="auto"/>
        <w:ind w:left="142"/>
        <w:jc w:val="both"/>
        <w:rPr>
          <w:rFonts w:ascii="Arial" w:hAnsi="Arial" w:cs="Arial"/>
          <w:sz w:val="24"/>
          <w:szCs w:val="24"/>
        </w:rPr>
      </w:pPr>
      <w:r>
        <w:rPr>
          <w:rFonts w:ascii="Arial" w:hAnsi="Arial" w:cs="Arial"/>
          <w:sz w:val="24"/>
          <w:szCs w:val="24"/>
        </w:rPr>
        <w:t xml:space="preserve">BNPP question what frequents the </w:t>
      </w:r>
      <w:r w:rsidR="009D64FA">
        <w:rPr>
          <w:rFonts w:ascii="Arial" w:hAnsi="Arial" w:cs="Arial"/>
          <w:sz w:val="24"/>
          <w:szCs w:val="24"/>
        </w:rPr>
        <w:t xml:space="preserve">area being the </w:t>
      </w:r>
      <w:r>
        <w:rPr>
          <w:rFonts w:ascii="Arial" w:hAnsi="Arial" w:cs="Arial"/>
          <w:sz w:val="24"/>
          <w:szCs w:val="24"/>
        </w:rPr>
        <w:t xml:space="preserve">difference between </w:t>
      </w:r>
      <w:r w:rsidR="00410110">
        <w:rPr>
          <w:rFonts w:ascii="Arial" w:hAnsi="Arial" w:cs="Arial"/>
          <w:sz w:val="24"/>
          <w:szCs w:val="24"/>
        </w:rPr>
        <w:t>2,060.50</w:t>
      </w:r>
      <w:r w:rsidR="00F008BB">
        <w:rPr>
          <w:rFonts w:ascii="Arial" w:hAnsi="Arial" w:cs="Arial"/>
          <w:sz w:val="24"/>
          <w:szCs w:val="24"/>
        </w:rPr>
        <w:t xml:space="preserve"> sq.m. (bedrooms area) and 4,55</w:t>
      </w:r>
      <w:r w:rsidR="00EB6120">
        <w:rPr>
          <w:rFonts w:ascii="Arial" w:hAnsi="Arial" w:cs="Arial"/>
          <w:sz w:val="24"/>
          <w:szCs w:val="24"/>
        </w:rPr>
        <w:t xml:space="preserve">1.40 </w:t>
      </w:r>
      <w:r w:rsidR="00F008BB">
        <w:rPr>
          <w:rFonts w:ascii="Arial" w:hAnsi="Arial" w:cs="Arial"/>
          <w:sz w:val="24"/>
          <w:szCs w:val="24"/>
        </w:rPr>
        <w:t>sq.m. (total scheme GIA)</w:t>
      </w:r>
      <w:r w:rsidR="00EB6120">
        <w:rPr>
          <w:rFonts w:ascii="Arial" w:hAnsi="Arial" w:cs="Arial"/>
          <w:sz w:val="24"/>
          <w:szCs w:val="24"/>
        </w:rPr>
        <w:t>. This comprises</w:t>
      </w:r>
      <w:r w:rsidR="00F008BB">
        <w:rPr>
          <w:rFonts w:ascii="Arial" w:hAnsi="Arial" w:cs="Arial"/>
          <w:sz w:val="24"/>
          <w:szCs w:val="24"/>
        </w:rPr>
        <w:t xml:space="preserve"> ‘gross’ ancillary areas </w:t>
      </w:r>
      <w:r w:rsidR="00F008BB" w:rsidRPr="00EB6120">
        <w:rPr>
          <w:rFonts w:ascii="Arial" w:hAnsi="Arial" w:cs="Arial"/>
          <w:sz w:val="24"/>
          <w:szCs w:val="24"/>
          <w:u w:val="single"/>
        </w:rPr>
        <w:t>and</w:t>
      </w:r>
      <w:r w:rsidR="00F008BB">
        <w:rPr>
          <w:rFonts w:ascii="Arial" w:hAnsi="Arial" w:cs="Arial"/>
          <w:sz w:val="24"/>
          <w:szCs w:val="24"/>
        </w:rPr>
        <w:t xml:space="preserve"> communal parts.</w:t>
      </w:r>
    </w:p>
    <w:p w:rsidR="00F008BB" w:rsidRDefault="00F008BB" w:rsidP="000073E1">
      <w:pPr>
        <w:spacing w:after="0" w:line="480" w:lineRule="auto"/>
        <w:ind w:left="142"/>
        <w:jc w:val="both"/>
        <w:rPr>
          <w:rFonts w:ascii="Arial" w:hAnsi="Arial" w:cs="Arial"/>
          <w:sz w:val="24"/>
          <w:szCs w:val="24"/>
        </w:rPr>
      </w:pPr>
      <w:r>
        <w:rPr>
          <w:rFonts w:ascii="Arial" w:hAnsi="Arial" w:cs="Arial"/>
          <w:sz w:val="24"/>
          <w:szCs w:val="24"/>
        </w:rPr>
        <w:t xml:space="preserve">In conclusion, despite an insignificant error on an earlier version of the Create area schedule, it is BNPP who </w:t>
      </w:r>
      <w:r w:rsidR="00410110">
        <w:rPr>
          <w:rFonts w:ascii="Arial" w:hAnsi="Arial" w:cs="Arial"/>
          <w:sz w:val="24"/>
          <w:szCs w:val="24"/>
        </w:rPr>
        <w:t>are in error and have used</w:t>
      </w:r>
      <w:r>
        <w:rPr>
          <w:rFonts w:ascii="Arial" w:hAnsi="Arial" w:cs="Arial"/>
          <w:sz w:val="24"/>
          <w:szCs w:val="24"/>
        </w:rPr>
        <w:t xml:space="preserve"> the wrong areas for the Appeal Scheme.</w:t>
      </w:r>
      <w:r w:rsidR="00410110">
        <w:rPr>
          <w:rFonts w:ascii="Arial" w:hAnsi="Arial" w:cs="Arial"/>
          <w:sz w:val="24"/>
          <w:szCs w:val="24"/>
        </w:rPr>
        <w:t xml:space="preserve"> There is no issue in terms of the relationship between the 2,060.50 sq.m. (bedrooms area) and the total scheme GIA of 4,551.40 sq.m.</w:t>
      </w:r>
    </w:p>
    <w:p w:rsidR="00046A91" w:rsidRPr="00046A91" w:rsidRDefault="00046A91" w:rsidP="000073E1">
      <w:pPr>
        <w:spacing w:after="0" w:line="480" w:lineRule="auto"/>
        <w:ind w:left="142"/>
        <w:jc w:val="both"/>
        <w:rPr>
          <w:rFonts w:ascii="Arial" w:hAnsi="Arial" w:cs="Arial"/>
          <w:color w:val="0070C0"/>
          <w:sz w:val="24"/>
          <w:szCs w:val="24"/>
        </w:rPr>
      </w:pPr>
      <w:r w:rsidRPr="00046A91">
        <w:rPr>
          <w:rFonts w:ascii="Arial" w:hAnsi="Arial" w:cs="Arial"/>
          <w:color w:val="0070C0"/>
          <w:sz w:val="24"/>
          <w:szCs w:val="24"/>
        </w:rPr>
        <w:t xml:space="preserve">I assume this </w:t>
      </w:r>
      <w:r>
        <w:rPr>
          <w:rFonts w:ascii="Arial" w:hAnsi="Arial" w:cs="Arial"/>
          <w:color w:val="0070C0"/>
          <w:sz w:val="24"/>
          <w:szCs w:val="24"/>
        </w:rPr>
        <w:t>deals with</w:t>
      </w:r>
      <w:r w:rsidRPr="00046A91">
        <w:rPr>
          <w:rFonts w:ascii="Arial" w:hAnsi="Arial" w:cs="Arial"/>
          <w:color w:val="0070C0"/>
          <w:sz w:val="24"/>
          <w:szCs w:val="24"/>
        </w:rPr>
        <w:t xml:space="preserve"> the floor-space issue referred to in LBTH’s Statement of Case as referred to in Section 3.13 above.</w:t>
      </w:r>
    </w:p>
    <w:p w:rsidR="000042E2" w:rsidRPr="00102960" w:rsidRDefault="009636D4" w:rsidP="00362DA8">
      <w:pPr>
        <w:spacing w:after="0" w:line="480" w:lineRule="auto"/>
        <w:ind w:left="142" w:hanging="709"/>
        <w:rPr>
          <w:rFonts w:ascii="Arial" w:hAnsi="Arial" w:cs="Arial"/>
          <w:sz w:val="24"/>
          <w:szCs w:val="24"/>
        </w:rPr>
      </w:pPr>
      <w:r w:rsidRPr="00102960">
        <w:rPr>
          <w:rFonts w:ascii="Arial" w:hAnsi="Arial" w:cs="Arial"/>
          <w:sz w:val="24"/>
          <w:szCs w:val="24"/>
        </w:rPr>
        <w:t>4.4</w:t>
      </w:r>
      <w:r w:rsidRPr="00102960">
        <w:rPr>
          <w:rFonts w:ascii="Arial" w:hAnsi="Arial" w:cs="Arial"/>
          <w:sz w:val="24"/>
          <w:szCs w:val="24"/>
        </w:rPr>
        <w:tab/>
        <w:t xml:space="preserve">In BNPP’s </w:t>
      </w:r>
      <w:r w:rsidR="003733E0" w:rsidRPr="00102960">
        <w:rPr>
          <w:rFonts w:ascii="Arial" w:hAnsi="Arial" w:cs="Arial"/>
          <w:sz w:val="24"/>
          <w:szCs w:val="24"/>
        </w:rPr>
        <w:t>S.6.6 to 6.9</w:t>
      </w:r>
      <w:r w:rsidRPr="00102960">
        <w:rPr>
          <w:rFonts w:ascii="Arial" w:hAnsi="Arial" w:cs="Arial"/>
          <w:sz w:val="24"/>
          <w:szCs w:val="24"/>
        </w:rPr>
        <w:t>, they</w:t>
      </w:r>
      <w:r w:rsidR="003733E0" w:rsidRPr="00102960">
        <w:rPr>
          <w:rFonts w:ascii="Arial" w:hAnsi="Arial" w:cs="Arial"/>
          <w:sz w:val="24"/>
          <w:szCs w:val="24"/>
        </w:rPr>
        <w:t xml:space="preserve"> say I</w:t>
      </w:r>
      <w:r w:rsidR="000042E2" w:rsidRPr="00102960">
        <w:rPr>
          <w:rFonts w:ascii="Arial" w:hAnsi="Arial" w:cs="Arial"/>
          <w:sz w:val="24"/>
          <w:szCs w:val="24"/>
        </w:rPr>
        <w:t xml:space="preserve"> have</w:t>
      </w:r>
      <w:r w:rsidR="003733E0" w:rsidRPr="00102960">
        <w:rPr>
          <w:rFonts w:ascii="Arial" w:hAnsi="Arial" w:cs="Arial"/>
          <w:sz w:val="24"/>
          <w:szCs w:val="24"/>
        </w:rPr>
        <w:t xml:space="preserve"> used the same income assumptions as Rapleys </w:t>
      </w:r>
      <w:r w:rsidRPr="00102960">
        <w:rPr>
          <w:rFonts w:ascii="Arial" w:hAnsi="Arial" w:cs="Arial"/>
          <w:sz w:val="24"/>
          <w:szCs w:val="24"/>
        </w:rPr>
        <w:t>in my ‘Review of Comments’</w:t>
      </w:r>
      <w:r w:rsidR="000042E2" w:rsidRPr="00102960">
        <w:rPr>
          <w:rFonts w:ascii="Arial" w:hAnsi="Arial" w:cs="Arial"/>
          <w:sz w:val="24"/>
          <w:szCs w:val="24"/>
        </w:rPr>
        <w:t xml:space="preserve"> dated 16/6/2020 </w:t>
      </w:r>
      <w:r w:rsidRPr="00102960">
        <w:rPr>
          <w:rFonts w:ascii="Arial" w:hAnsi="Arial" w:cs="Arial"/>
          <w:sz w:val="24"/>
          <w:szCs w:val="24"/>
        </w:rPr>
        <w:t xml:space="preserve">(see </w:t>
      </w:r>
      <w:r w:rsidRPr="00102960">
        <w:rPr>
          <w:rFonts w:ascii="Arial" w:hAnsi="Arial" w:cs="Arial"/>
          <w:b/>
          <w:sz w:val="24"/>
          <w:szCs w:val="24"/>
        </w:rPr>
        <w:t xml:space="preserve">Appendix </w:t>
      </w:r>
      <w:r w:rsidR="00D17893">
        <w:rPr>
          <w:rFonts w:ascii="Arial" w:hAnsi="Arial" w:cs="Arial"/>
          <w:b/>
          <w:sz w:val="24"/>
          <w:szCs w:val="24"/>
        </w:rPr>
        <w:t>B</w:t>
      </w:r>
      <w:r w:rsidRPr="00102960">
        <w:rPr>
          <w:rFonts w:ascii="Arial" w:hAnsi="Arial" w:cs="Arial"/>
          <w:sz w:val="24"/>
          <w:szCs w:val="24"/>
        </w:rPr>
        <w:t xml:space="preserve">) </w:t>
      </w:r>
      <w:r w:rsidR="003733E0" w:rsidRPr="00102960">
        <w:rPr>
          <w:rFonts w:ascii="Arial" w:hAnsi="Arial" w:cs="Arial"/>
          <w:sz w:val="24"/>
          <w:szCs w:val="24"/>
        </w:rPr>
        <w:t>and that Rapleys and I are in error with regard to the potential income we have ass</w:t>
      </w:r>
      <w:r w:rsidR="00F05A10">
        <w:rPr>
          <w:rFonts w:ascii="Arial" w:hAnsi="Arial" w:cs="Arial"/>
          <w:sz w:val="24"/>
          <w:szCs w:val="24"/>
        </w:rPr>
        <w:t>essed</w:t>
      </w:r>
      <w:r w:rsidR="003733E0" w:rsidRPr="00102960">
        <w:rPr>
          <w:rFonts w:ascii="Arial" w:hAnsi="Arial" w:cs="Arial"/>
          <w:sz w:val="24"/>
          <w:szCs w:val="24"/>
        </w:rPr>
        <w:t xml:space="preserve"> </w:t>
      </w:r>
      <w:r w:rsidRPr="00102960">
        <w:rPr>
          <w:rFonts w:ascii="Arial" w:hAnsi="Arial" w:cs="Arial"/>
          <w:sz w:val="24"/>
          <w:szCs w:val="24"/>
        </w:rPr>
        <w:t xml:space="preserve">for the Appeal Scheme based upon </w:t>
      </w:r>
      <w:r w:rsidR="000042E2" w:rsidRPr="00102960">
        <w:rPr>
          <w:rFonts w:ascii="Arial" w:hAnsi="Arial" w:cs="Arial"/>
          <w:sz w:val="24"/>
          <w:szCs w:val="24"/>
        </w:rPr>
        <w:t>their</w:t>
      </w:r>
      <w:r w:rsidRPr="00102960">
        <w:rPr>
          <w:rFonts w:ascii="Arial" w:hAnsi="Arial" w:cs="Arial"/>
          <w:sz w:val="24"/>
          <w:szCs w:val="24"/>
        </w:rPr>
        <w:t xml:space="preserve"> comparison of </w:t>
      </w:r>
      <w:r w:rsidR="003733E0" w:rsidRPr="00102960">
        <w:rPr>
          <w:rFonts w:ascii="Arial" w:hAnsi="Arial" w:cs="Arial"/>
          <w:sz w:val="24"/>
          <w:szCs w:val="24"/>
        </w:rPr>
        <w:t xml:space="preserve">the existing hostel and the </w:t>
      </w:r>
      <w:r w:rsidR="000042E2" w:rsidRPr="00102960">
        <w:rPr>
          <w:rFonts w:ascii="Arial" w:hAnsi="Arial" w:cs="Arial"/>
          <w:sz w:val="24"/>
          <w:szCs w:val="24"/>
        </w:rPr>
        <w:t xml:space="preserve">proposed hostel </w:t>
      </w:r>
      <w:r w:rsidR="003733E0" w:rsidRPr="00102960">
        <w:rPr>
          <w:rFonts w:ascii="Arial" w:hAnsi="Arial" w:cs="Arial"/>
          <w:sz w:val="24"/>
          <w:szCs w:val="24"/>
        </w:rPr>
        <w:t xml:space="preserve">element of the </w:t>
      </w:r>
      <w:r w:rsidRPr="00102960">
        <w:rPr>
          <w:rFonts w:ascii="Arial" w:hAnsi="Arial" w:cs="Arial"/>
          <w:sz w:val="24"/>
          <w:szCs w:val="24"/>
        </w:rPr>
        <w:t>Appeal Scheme.</w:t>
      </w:r>
      <w:r w:rsidR="003733E0" w:rsidRPr="00102960">
        <w:rPr>
          <w:rFonts w:ascii="Arial" w:hAnsi="Arial" w:cs="Arial"/>
          <w:sz w:val="24"/>
          <w:szCs w:val="24"/>
        </w:rPr>
        <w:t xml:space="preserve"> </w:t>
      </w:r>
    </w:p>
    <w:p w:rsidR="00102960" w:rsidRPr="00F05A10" w:rsidRDefault="003733E0" w:rsidP="00362DA8">
      <w:pPr>
        <w:spacing w:after="0" w:line="480" w:lineRule="auto"/>
        <w:ind w:left="142"/>
        <w:jc w:val="both"/>
        <w:rPr>
          <w:rFonts w:ascii="Arial" w:hAnsi="Arial" w:cs="Arial"/>
          <w:sz w:val="24"/>
          <w:szCs w:val="24"/>
        </w:rPr>
      </w:pPr>
      <w:r w:rsidRPr="00102960">
        <w:rPr>
          <w:rFonts w:ascii="Arial" w:hAnsi="Arial" w:cs="Arial"/>
          <w:sz w:val="24"/>
          <w:szCs w:val="24"/>
        </w:rPr>
        <w:t>However</w:t>
      </w:r>
      <w:r w:rsidR="000042E2" w:rsidRPr="00102960">
        <w:rPr>
          <w:rFonts w:ascii="Arial" w:hAnsi="Arial" w:cs="Arial"/>
          <w:sz w:val="24"/>
          <w:szCs w:val="24"/>
        </w:rPr>
        <w:t xml:space="preserve">, </w:t>
      </w:r>
      <w:r w:rsidR="00D85A85">
        <w:rPr>
          <w:rFonts w:ascii="Arial" w:hAnsi="Arial" w:cs="Arial"/>
          <w:sz w:val="24"/>
          <w:szCs w:val="24"/>
        </w:rPr>
        <w:t xml:space="preserve">neither Rapleys or I are </w:t>
      </w:r>
      <w:r w:rsidR="000042E2" w:rsidRPr="00102960">
        <w:rPr>
          <w:rFonts w:ascii="Arial" w:hAnsi="Arial" w:cs="Arial"/>
          <w:sz w:val="24"/>
          <w:szCs w:val="24"/>
        </w:rPr>
        <w:t xml:space="preserve">in error in this regard </w:t>
      </w:r>
      <w:r w:rsidR="000042E2" w:rsidRPr="00F05A10">
        <w:rPr>
          <w:rFonts w:ascii="Arial" w:hAnsi="Arial" w:cs="Arial"/>
          <w:sz w:val="24"/>
          <w:szCs w:val="24"/>
        </w:rPr>
        <w:t>BNPP’s comparison of the potential income from the existing hostel versus the proposed hostel element of the Appeal Sch</w:t>
      </w:r>
      <w:r w:rsidR="00D85A85">
        <w:rPr>
          <w:rFonts w:ascii="Arial" w:hAnsi="Arial" w:cs="Arial"/>
          <w:sz w:val="24"/>
          <w:szCs w:val="24"/>
        </w:rPr>
        <w:t>eme is inappropriate because the</w:t>
      </w:r>
      <w:r w:rsidR="000042E2" w:rsidRPr="00F05A10">
        <w:rPr>
          <w:rFonts w:ascii="Arial" w:hAnsi="Arial" w:cs="Arial"/>
          <w:sz w:val="24"/>
          <w:szCs w:val="24"/>
        </w:rPr>
        <w:t>y are conceptually different. Th</w:t>
      </w:r>
      <w:r w:rsidRPr="00F05A10">
        <w:rPr>
          <w:rFonts w:ascii="Arial" w:hAnsi="Arial" w:cs="Arial"/>
          <w:sz w:val="24"/>
          <w:szCs w:val="24"/>
        </w:rPr>
        <w:t xml:space="preserve">e </w:t>
      </w:r>
      <w:r w:rsidR="00597359" w:rsidRPr="00F05A10">
        <w:rPr>
          <w:rFonts w:ascii="Arial" w:hAnsi="Arial" w:cs="Arial"/>
          <w:sz w:val="24"/>
          <w:szCs w:val="24"/>
        </w:rPr>
        <w:t>existing hostel comprises</w:t>
      </w:r>
      <w:r w:rsidR="00102960" w:rsidRPr="00F05A10">
        <w:rPr>
          <w:rFonts w:ascii="Arial" w:hAnsi="Arial" w:cs="Arial"/>
          <w:sz w:val="24"/>
          <w:szCs w:val="24"/>
        </w:rPr>
        <w:t xml:space="preserve"> rooms containing multiple bunk-beds whereas the proposed hostel moves away from that and is designed to cater for fewer people per room. </w:t>
      </w:r>
      <w:r w:rsidR="00F05A10">
        <w:rPr>
          <w:rFonts w:ascii="Arial" w:hAnsi="Arial" w:cs="Arial"/>
          <w:sz w:val="24"/>
          <w:szCs w:val="24"/>
        </w:rPr>
        <w:t>BNPP appear to be sayi</w:t>
      </w:r>
      <w:r w:rsidR="00D85A85">
        <w:rPr>
          <w:rFonts w:ascii="Arial" w:hAnsi="Arial" w:cs="Arial"/>
          <w:sz w:val="24"/>
          <w:szCs w:val="24"/>
        </w:rPr>
        <w:t>ng that the proposed new hostel</w:t>
      </w:r>
      <w:r w:rsidR="00F05A10">
        <w:rPr>
          <w:rFonts w:ascii="Arial" w:hAnsi="Arial" w:cs="Arial"/>
          <w:sz w:val="24"/>
          <w:szCs w:val="24"/>
        </w:rPr>
        <w:t xml:space="preserve"> rooms should generate the same gross income as the existing ones but this does not follow if there are far fewer occupants per room. </w:t>
      </w:r>
      <w:r w:rsidR="00102960" w:rsidRPr="00F05A10">
        <w:rPr>
          <w:rFonts w:ascii="Arial" w:hAnsi="Arial" w:cs="Arial"/>
          <w:sz w:val="24"/>
          <w:szCs w:val="24"/>
        </w:rPr>
        <w:t>I understand that the A</w:t>
      </w:r>
      <w:r w:rsidR="00F05A10">
        <w:rPr>
          <w:rFonts w:ascii="Arial" w:hAnsi="Arial" w:cs="Arial"/>
          <w:sz w:val="24"/>
          <w:szCs w:val="24"/>
        </w:rPr>
        <w:t>ppellant is not planning to revert</w:t>
      </w:r>
      <w:r w:rsidR="00102960" w:rsidRPr="00F05A10">
        <w:rPr>
          <w:rFonts w:ascii="Arial" w:hAnsi="Arial" w:cs="Arial"/>
          <w:sz w:val="24"/>
          <w:szCs w:val="24"/>
        </w:rPr>
        <w:t xml:space="preserve"> to the existing hostel concept (i.e. by putting multi-bunk beds in the proposed new rooms).</w:t>
      </w:r>
    </w:p>
    <w:p w:rsidR="00362DA8" w:rsidRDefault="00362DA8">
      <w:pPr>
        <w:rPr>
          <w:rFonts w:ascii="Arial" w:hAnsi="Arial" w:cs="Arial"/>
          <w:sz w:val="24"/>
          <w:szCs w:val="24"/>
        </w:rPr>
      </w:pPr>
      <w:r>
        <w:rPr>
          <w:rFonts w:ascii="Arial" w:hAnsi="Arial" w:cs="Arial"/>
          <w:sz w:val="24"/>
          <w:szCs w:val="24"/>
        </w:rPr>
        <w:br w:type="page"/>
      </w:r>
    </w:p>
    <w:p w:rsidR="00F05A10" w:rsidRDefault="003733E0" w:rsidP="000073E1">
      <w:pPr>
        <w:spacing w:after="0" w:line="480" w:lineRule="auto"/>
        <w:ind w:left="142"/>
        <w:jc w:val="both"/>
        <w:rPr>
          <w:rFonts w:ascii="Arial" w:hAnsi="Arial" w:cs="Arial"/>
          <w:sz w:val="24"/>
          <w:szCs w:val="24"/>
        </w:rPr>
      </w:pPr>
      <w:r w:rsidRPr="00102960">
        <w:rPr>
          <w:rFonts w:ascii="Arial" w:hAnsi="Arial" w:cs="Arial"/>
          <w:sz w:val="24"/>
          <w:szCs w:val="24"/>
        </w:rPr>
        <w:t xml:space="preserve">The existing hostel comprises 52 rooms and can accommodate up to 263 people. The average room size is just under </w:t>
      </w:r>
      <w:r w:rsidR="00F05A10">
        <w:rPr>
          <w:rFonts w:ascii="Arial" w:hAnsi="Arial" w:cs="Arial"/>
          <w:sz w:val="24"/>
          <w:szCs w:val="24"/>
        </w:rPr>
        <w:t>28 sq.m.</w:t>
      </w:r>
      <w:r w:rsidRPr="00102960">
        <w:rPr>
          <w:rFonts w:ascii="Arial" w:hAnsi="Arial" w:cs="Arial"/>
          <w:sz w:val="24"/>
          <w:szCs w:val="24"/>
        </w:rPr>
        <w:t xml:space="preserve"> and so each person has apportioned space of </w:t>
      </w:r>
      <w:r w:rsidR="000A673A">
        <w:rPr>
          <w:rFonts w:ascii="Arial" w:hAnsi="Arial" w:cs="Arial"/>
          <w:sz w:val="24"/>
          <w:szCs w:val="24"/>
        </w:rPr>
        <w:t>5.53</w:t>
      </w:r>
      <w:r w:rsidR="00F05A10">
        <w:rPr>
          <w:rFonts w:ascii="Arial" w:hAnsi="Arial" w:cs="Arial"/>
          <w:sz w:val="24"/>
          <w:szCs w:val="24"/>
        </w:rPr>
        <w:t xml:space="preserve"> sq.m.</w:t>
      </w:r>
      <w:r w:rsidRPr="00102960">
        <w:rPr>
          <w:rFonts w:ascii="Arial" w:hAnsi="Arial" w:cs="Arial"/>
          <w:sz w:val="24"/>
          <w:szCs w:val="24"/>
        </w:rPr>
        <w:t xml:space="preserve"> As replicated in Section 7.6 of my Review of Comments, the accounting history for the existing schemes indicates an approximate gross rent over the last 2 years of around £1.46m p.a. If it was 100% full 365 days of the year</w:t>
      </w:r>
      <w:r w:rsidR="00F05A10">
        <w:rPr>
          <w:rFonts w:ascii="Arial" w:hAnsi="Arial" w:cs="Arial"/>
          <w:sz w:val="24"/>
          <w:szCs w:val="24"/>
        </w:rPr>
        <w:t>, this would</w:t>
      </w:r>
      <w:r w:rsidRPr="00102960">
        <w:rPr>
          <w:rFonts w:ascii="Arial" w:hAnsi="Arial" w:cs="Arial"/>
          <w:sz w:val="24"/>
          <w:szCs w:val="24"/>
        </w:rPr>
        <w:t xml:space="preserve"> equates to £5,55</w:t>
      </w:r>
      <w:r w:rsidR="00F05A10">
        <w:rPr>
          <w:rFonts w:ascii="Arial" w:hAnsi="Arial" w:cs="Arial"/>
          <w:sz w:val="24"/>
          <w:szCs w:val="24"/>
        </w:rPr>
        <w:t>1</w:t>
      </w:r>
      <w:r w:rsidRPr="00102960">
        <w:rPr>
          <w:rFonts w:ascii="Arial" w:hAnsi="Arial" w:cs="Arial"/>
          <w:sz w:val="24"/>
          <w:szCs w:val="24"/>
        </w:rPr>
        <w:t xml:space="preserve"> per person/bed p.a.</w:t>
      </w:r>
      <w:r w:rsidR="00F05A10">
        <w:rPr>
          <w:rFonts w:ascii="Arial" w:hAnsi="Arial" w:cs="Arial"/>
          <w:sz w:val="24"/>
          <w:szCs w:val="24"/>
        </w:rPr>
        <w:t xml:space="preserve"> </w:t>
      </w:r>
    </w:p>
    <w:p w:rsidR="003733E0" w:rsidRDefault="003733E0" w:rsidP="00362DA8">
      <w:pPr>
        <w:spacing w:after="0" w:line="480" w:lineRule="auto"/>
        <w:ind w:left="142"/>
        <w:rPr>
          <w:rFonts w:ascii="Arial" w:hAnsi="Arial" w:cs="Arial"/>
          <w:sz w:val="24"/>
          <w:szCs w:val="24"/>
        </w:rPr>
      </w:pPr>
      <w:r w:rsidRPr="00F05A10">
        <w:rPr>
          <w:rFonts w:ascii="Arial" w:hAnsi="Arial" w:cs="Arial"/>
          <w:sz w:val="24"/>
          <w:szCs w:val="24"/>
        </w:rPr>
        <w:t xml:space="preserve">The proposed hostel element of the </w:t>
      </w:r>
      <w:r w:rsidR="00F05A10" w:rsidRPr="00F05A10">
        <w:rPr>
          <w:rFonts w:ascii="Arial" w:hAnsi="Arial" w:cs="Arial"/>
          <w:sz w:val="24"/>
          <w:szCs w:val="24"/>
        </w:rPr>
        <w:t xml:space="preserve">Appeal Scheme </w:t>
      </w:r>
      <w:r w:rsidR="00F05A10">
        <w:rPr>
          <w:rFonts w:ascii="Arial" w:hAnsi="Arial" w:cs="Arial"/>
          <w:sz w:val="24"/>
          <w:szCs w:val="24"/>
        </w:rPr>
        <w:t>comprises 25 rooms and can accommodate up to</w:t>
      </w:r>
      <w:r w:rsidRPr="00F05A10">
        <w:rPr>
          <w:rFonts w:ascii="Arial" w:hAnsi="Arial" w:cs="Arial"/>
          <w:sz w:val="24"/>
          <w:szCs w:val="24"/>
        </w:rPr>
        <w:t xml:space="preserve"> 4</w:t>
      </w:r>
      <w:r w:rsidR="00F05A10">
        <w:rPr>
          <w:rFonts w:ascii="Arial" w:hAnsi="Arial" w:cs="Arial"/>
          <w:sz w:val="24"/>
          <w:szCs w:val="24"/>
        </w:rPr>
        <w:t>1</w:t>
      </w:r>
      <w:r w:rsidRPr="00F05A10">
        <w:rPr>
          <w:rFonts w:ascii="Arial" w:hAnsi="Arial" w:cs="Arial"/>
          <w:sz w:val="24"/>
          <w:szCs w:val="24"/>
        </w:rPr>
        <w:t xml:space="preserve">. </w:t>
      </w:r>
      <w:r w:rsidR="00F05A10" w:rsidRPr="00102960">
        <w:rPr>
          <w:rFonts w:ascii="Arial" w:hAnsi="Arial" w:cs="Arial"/>
          <w:sz w:val="24"/>
          <w:szCs w:val="24"/>
        </w:rPr>
        <w:t xml:space="preserve">The average room size is </w:t>
      </w:r>
      <w:r w:rsidR="00F05A10">
        <w:rPr>
          <w:rFonts w:ascii="Arial" w:hAnsi="Arial" w:cs="Arial"/>
          <w:sz w:val="24"/>
          <w:szCs w:val="24"/>
        </w:rPr>
        <w:t>19.1 sq.m.</w:t>
      </w:r>
      <w:r w:rsidR="00F05A10" w:rsidRPr="00102960">
        <w:rPr>
          <w:rFonts w:ascii="Arial" w:hAnsi="Arial" w:cs="Arial"/>
          <w:sz w:val="24"/>
          <w:szCs w:val="24"/>
        </w:rPr>
        <w:t xml:space="preserve"> and so each person has apportioned space of </w:t>
      </w:r>
      <w:r w:rsidR="00F05A10">
        <w:rPr>
          <w:rFonts w:ascii="Arial" w:hAnsi="Arial" w:cs="Arial"/>
          <w:sz w:val="24"/>
          <w:szCs w:val="24"/>
        </w:rPr>
        <w:t>11.65 sq.m.</w:t>
      </w:r>
      <w:r w:rsidR="00F05A10" w:rsidRPr="00102960">
        <w:rPr>
          <w:rFonts w:ascii="Arial" w:hAnsi="Arial" w:cs="Arial"/>
          <w:sz w:val="24"/>
          <w:szCs w:val="24"/>
        </w:rPr>
        <w:t xml:space="preserve"> </w:t>
      </w:r>
      <w:r w:rsidRPr="00F05A10">
        <w:rPr>
          <w:rFonts w:ascii="Arial" w:hAnsi="Arial" w:cs="Arial"/>
          <w:sz w:val="24"/>
          <w:szCs w:val="24"/>
        </w:rPr>
        <w:t xml:space="preserve">which is obviously bigger and better quality space (i.e. in spatial, shower access and privacy terms) than within the existing hostel. </w:t>
      </w:r>
      <w:r w:rsidR="000A673A">
        <w:rPr>
          <w:rFonts w:ascii="Arial" w:hAnsi="Arial" w:cs="Arial"/>
          <w:sz w:val="24"/>
          <w:szCs w:val="24"/>
        </w:rPr>
        <w:t xml:space="preserve">In their original viability report </w:t>
      </w:r>
      <w:r w:rsidRPr="00F05A10">
        <w:rPr>
          <w:rFonts w:ascii="Arial" w:hAnsi="Arial" w:cs="Arial"/>
          <w:sz w:val="24"/>
          <w:szCs w:val="24"/>
        </w:rPr>
        <w:t>Rapleys accounted for a gross rent of £8,683 per person p.a. (i.e. 56</w:t>
      </w:r>
      <w:r w:rsidR="002600C4">
        <w:rPr>
          <w:rFonts w:ascii="Arial" w:hAnsi="Arial" w:cs="Arial"/>
          <w:sz w:val="24"/>
          <w:szCs w:val="24"/>
        </w:rPr>
        <w:t>.42</w:t>
      </w:r>
      <w:r w:rsidRPr="00F05A10">
        <w:rPr>
          <w:rFonts w:ascii="Arial" w:hAnsi="Arial" w:cs="Arial"/>
          <w:sz w:val="24"/>
          <w:szCs w:val="24"/>
        </w:rPr>
        <w:t xml:space="preserve">% higher) </w:t>
      </w:r>
      <w:r w:rsidR="000A673A">
        <w:rPr>
          <w:rFonts w:ascii="Arial" w:hAnsi="Arial" w:cs="Arial"/>
          <w:sz w:val="24"/>
          <w:szCs w:val="24"/>
        </w:rPr>
        <w:t>for the proposed hostel element of the Appeal Scheme to reflect</w:t>
      </w:r>
      <w:r w:rsidRPr="00F05A10">
        <w:rPr>
          <w:rFonts w:ascii="Arial" w:hAnsi="Arial" w:cs="Arial"/>
          <w:sz w:val="24"/>
          <w:szCs w:val="24"/>
        </w:rPr>
        <w:t xml:space="preserve"> the bigger and better space per person. </w:t>
      </w:r>
      <w:r w:rsidR="000A673A">
        <w:rPr>
          <w:rFonts w:ascii="Arial" w:hAnsi="Arial" w:cs="Arial"/>
          <w:sz w:val="24"/>
          <w:szCs w:val="24"/>
        </w:rPr>
        <w:t>Although a</w:t>
      </w:r>
      <w:r w:rsidRPr="00F05A10">
        <w:rPr>
          <w:rFonts w:ascii="Arial" w:hAnsi="Arial" w:cs="Arial"/>
          <w:sz w:val="24"/>
          <w:szCs w:val="24"/>
        </w:rPr>
        <w:t xml:space="preserve"> better gross rent per room </w:t>
      </w:r>
      <w:r w:rsidR="000A673A">
        <w:rPr>
          <w:rFonts w:ascii="Arial" w:hAnsi="Arial" w:cs="Arial"/>
          <w:sz w:val="24"/>
          <w:szCs w:val="24"/>
        </w:rPr>
        <w:t>would be obtained</w:t>
      </w:r>
      <w:r w:rsidRPr="00F05A10">
        <w:rPr>
          <w:rFonts w:ascii="Arial" w:hAnsi="Arial" w:cs="Arial"/>
          <w:sz w:val="24"/>
          <w:szCs w:val="24"/>
        </w:rPr>
        <w:t xml:space="preserve"> by pursuing the existing hostel concept</w:t>
      </w:r>
      <w:r w:rsidR="000A673A">
        <w:rPr>
          <w:rFonts w:ascii="Arial" w:hAnsi="Arial" w:cs="Arial"/>
          <w:sz w:val="24"/>
          <w:szCs w:val="24"/>
        </w:rPr>
        <w:t xml:space="preserve"> (i.e. multiple bunk-beds per room),</w:t>
      </w:r>
      <w:r w:rsidRPr="00F05A10">
        <w:rPr>
          <w:rFonts w:ascii="Arial" w:hAnsi="Arial" w:cs="Arial"/>
          <w:sz w:val="24"/>
          <w:szCs w:val="24"/>
        </w:rPr>
        <w:t xml:space="preserve"> the net rental position is worse (partly on account of higher resident turnover). </w:t>
      </w:r>
    </w:p>
    <w:p w:rsidR="00362DA8" w:rsidRDefault="00362DA8">
      <w:pPr>
        <w:rPr>
          <w:rFonts w:ascii="Arial" w:hAnsi="Arial" w:cs="Arial"/>
          <w:sz w:val="24"/>
          <w:szCs w:val="24"/>
        </w:rPr>
      </w:pPr>
      <w:r>
        <w:rPr>
          <w:rFonts w:ascii="Arial" w:hAnsi="Arial" w:cs="Arial"/>
          <w:sz w:val="24"/>
          <w:szCs w:val="24"/>
        </w:rPr>
        <w:br w:type="page"/>
      </w:r>
    </w:p>
    <w:p w:rsidR="00DB6999" w:rsidRDefault="000A673A" w:rsidP="000073E1">
      <w:pPr>
        <w:spacing w:after="0" w:line="480" w:lineRule="auto"/>
        <w:ind w:left="142"/>
        <w:jc w:val="both"/>
        <w:rPr>
          <w:rFonts w:ascii="Arial" w:hAnsi="Arial" w:cs="Arial"/>
          <w:sz w:val="24"/>
          <w:szCs w:val="24"/>
        </w:rPr>
      </w:pPr>
      <w:r>
        <w:rPr>
          <w:rFonts w:ascii="Arial" w:hAnsi="Arial" w:cs="Arial"/>
          <w:sz w:val="24"/>
          <w:szCs w:val="24"/>
        </w:rPr>
        <w:t xml:space="preserve">BNPP have assumed that the same gross rent per room could be obtained via the proposed hostel element of the Appeal Scheme as per the existing hostel but this is not </w:t>
      </w:r>
      <w:r w:rsidR="002600C4">
        <w:rPr>
          <w:rFonts w:ascii="Arial" w:hAnsi="Arial" w:cs="Arial"/>
          <w:sz w:val="24"/>
          <w:szCs w:val="24"/>
        </w:rPr>
        <w:t>reasonable</w:t>
      </w:r>
      <w:r>
        <w:rPr>
          <w:rFonts w:ascii="Arial" w:hAnsi="Arial" w:cs="Arial"/>
          <w:sz w:val="24"/>
          <w:szCs w:val="24"/>
        </w:rPr>
        <w:t xml:space="preserve"> because there will only be an average of 1.64 people </w:t>
      </w:r>
      <w:r w:rsidR="00B902E1">
        <w:rPr>
          <w:rFonts w:ascii="Arial" w:hAnsi="Arial" w:cs="Arial"/>
          <w:sz w:val="24"/>
          <w:szCs w:val="24"/>
        </w:rPr>
        <w:t xml:space="preserve">paying rent/fees </w:t>
      </w:r>
      <w:r>
        <w:rPr>
          <w:rFonts w:ascii="Arial" w:hAnsi="Arial" w:cs="Arial"/>
          <w:sz w:val="24"/>
          <w:szCs w:val="24"/>
        </w:rPr>
        <w:t xml:space="preserve">per room in the Appeal Scheme hostel compared to 5.06 people </w:t>
      </w:r>
      <w:r w:rsidR="00B902E1">
        <w:rPr>
          <w:rFonts w:ascii="Arial" w:hAnsi="Arial" w:cs="Arial"/>
          <w:sz w:val="24"/>
          <w:szCs w:val="24"/>
        </w:rPr>
        <w:t xml:space="preserve">paying rent/fees </w:t>
      </w:r>
      <w:r>
        <w:rPr>
          <w:rFonts w:ascii="Arial" w:hAnsi="Arial" w:cs="Arial"/>
          <w:sz w:val="24"/>
          <w:szCs w:val="24"/>
        </w:rPr>
        <w:t>per room in the existing hostel. As such, BNPP</w:t>
      </w:r>
      <w:r w:rsidR="00DB6999">
        <w:rPr>
          <w:rFonts w:ascii="Arial" w:hAnsi="Arial" w:cs="Arial"/>
          <w:sz w:val="24"/>
          <w:szCs w:val="24"/>
        </w:rPr>
        <w:t>’</w:t>
      </w:r>
      <w:r>
        <w:rPr>
          <w:rFonts w:ascii="Arial" w:hAnsi="Arial" w:cs="Arial"/>
          <w:sz w:val="24"/>
          <w:szCs w:val="24"/>
        </w:rPr>
        <w:t>s application of the same gross room income per annum for the Appeal Scheme hostel as per the existing hostel is flawed</w:t>
      </w:r>
      <w:r w:rsidRPr="00DB6999">
        <w:rPr>
          <w:rFonts w:ascii="Arial" w:hAnsi="Arial" w:cs="Arial"/>
          <w:sz w:val="24"/>
          <w:szCs w:val="24"/>
        </w:rPr>
        <w:t xml:space="preserve">. </w:t>
      </w:r>
    </w:p>
    <w:p w:rsidR="00DB6999" w:rsidRDefault="00DB6999" w:rsidP="000073E1">
      <w:pPr>
        <w:spacing w:after="0" w:line="480" w:lineRule="auto"/>
        <w:ind w:left="142"/>
        <w:jc w:val="both"/>
        <w:rPr>
          <w:rFonts w:ascii="Arial" w:hAnsi="Arial" w:cs="Arial"/>
          <w:sz w:val="24"/>
          <w:szCs w:val="24"/>
        </w:rPr>
      </w:pPr>
      <w:r w:rsidRPr="00DB6999">
        <w:rPr>
          <w:rFonts w:ascii="Arial" w:hAnsi="Arial" w:cs="Arial"/>
          <w:sz w:val="24"/>
          <w:szCs w:val="24"/>
        </w:rPr>
        <w:t xml:space="preserve">In BNPP’s Appendix 3, they identify a total gross annual rent for the proposed hostel of £784,176 p.a. </w:t>
      </w:r>
      <w:r w:rsidR="00D85A85">
        <w:rPr>
          <w:rFonts w:ascii="Arial" w:hAnsi="Arial" w:cs="Arial"/>
          <w:sz w:val="24"/>
          <w:szCs w:val="24"/>
        </w:rPr>
        <w:t>(</w:t>
      </w:r>
      <w:r w:rsidRPr="00DB6999">
        <w:rPr>
          <w:rFonts w:ascii="Arial" w:hAnsi="Arial" w:cs="Arial"/>
          <w:sz w:val="24"/>
          <w:szCs w:val="24"/>
        </w:rPr>
        <w:t xml:space="preserve">albeit they appear to have higher rents for single occupancy units than they do for double occupancy rooms </w:t>
      </w:r>
      <w:r w:rsidR="00D26DCA">
        <w:rPr>
          <w:rFonts w:ascii="Arial" w:hAnsi="Arial" w:cs="Arial"/>
          <w:sz w:val="24"/>
          <w:szCs w:val="24"/>
        </w:rPr>
        <w:t>–</w:t>
      </w:r>
      <w:r w:rsidR="00D85A85">
        <w:rPr>
          <w:rFonts w:ascii="Arial" w:hAnsi="Arial" w:cs="Arial"/>
          <w:sz w:val="24"/>
          <w:szCs w:val="24"/>
        </w:rPr>
        <w:t xml:space="preserve"> </w:t>
      </w:r>
      <w:r w:rsidRPr="00DB6999">
        <w:rPr>
          <w:rFonts w:ascii="Arial" w:hAnsi="Arial" w:cs="Arial"/>
          <w:sz w:val="24"/>
          <w:szCs w:val="24"/>
        </w:rPr>
        <w:t xml:space="preserve">which does not make sense). Based upon £784,176, this equates to £16,003 per person/bed p.a. compared to the average of £5,553 p.a. per person/bed within the existing </w:t>
      </w:r>
      <w:r>
        <w:rPr>
          <w:rFonts w:ascii="Arial" w:hAnsi="Arial" w:cs="Arial"/>
          <w:sz w:val="24"/>
          <w:szCs w:val="24"/>
        </w:rPr>
        <w:t>hostel</w:t>
      </w:r>
      <w:r w:rsidRPr="00DB6999">
        <w:rPr>
          <w:rFonts w:ascii="Arial" w:hAnsi="Arial" w:cs="Arial"/>
          <w:sz w:val="24"/>
          <w:szCs w:val="24"/>
        </w:rPr>
        <w:t xml:space="preserve">.  This is a 188% increase which is illogical and </w:t>
      </w:r>
      <w:r w:rsidRPr="00DB6999">
        <w:rPr>
          <w:rFonts w:ascii="Arial" w:hAnsi="Arial" w:cs="Arial"/>
          <w:sz w:val="24"/>
          <w:szCs w:val="24"/>
          <w:u w:val="single"/>
        </w:rPr>
        <w:t>clearly excessive</w:t>
      </w:r>
      <w:r w:rsidRPr="00DB6999">
        <w:rPr>
          <w:rFonts w:ascii="Arial" w:hAnsi="Arial" w:cs="Arial"/>
          <w:sz w:val="24"/>
          <w:szCs w:val="24"/>
        </w:rPr>
        <w:t xml:space="preserve"> </w:t>
      </w:r>
      <w:r w:rsidR="00D85A85">
        <w:rPr>
          <w:rFonts w:ascii="Arial" w:hAnsi="Arial" w:cs="Arial"/>
          <w:sz w:val="24"/>
          <w:szCs w:val="24"/>
        </w:rPr>
        <w:t>notwithstanding</w:t>
      </w:r>
      <w:r w:rsidRPr="00DB6999">
        <w:rPr>
          <w:rFonts w:ascii="Arial" w:hAnsi="Arial" w:cs="Arial"/>
          <w:sz w:val="24"/>
          <w:szCs w:val="24"/>
        </w:rPr>
        <w:t xml:space="preserve"> the </w:t>
      </w:r>
      <w:r>
        <w:rPr>
          <w:rFonts w:ascii="Arial" w:hAnsi="Arial" w:cs="Arial"/>
          <w:sz w:val="24"/>
          <w:szCs w:val="24"/>
        </w:rPr>
        <w:t>Appeal Scheme hostel bedroom space per person</w:t>
      </w:r>
      <w:r w:rsidRPr="00DB6999">
        <w:rPr>
          <w:rFonts w:ascii="Arial" w:hAnsi="Arial" w:cs="Arial"/>
          <w:sz w:val="24"/>
          <w:szCs w:val="24"/>
        </w:rPr>
        <w:t xml:space="preserve"> is bigger and better.</w:t>
      </w:r>
    </w:p>
    <w:p w:rsidR="00046A91" w:rsidRPr="00046A91" w:rsidRDefault="00046A91" w:rsidP="00046A91">
      <w:pPr>
        <w:spacing w:after="0" w:line="480" w:lineRule="auto"/>
        <w:ind w:left="142"/>
        <w:jc w:val="both"/>
        <w:rPr>
          <w:rFonts w:ascii="Arial" w:hAnsi="Arial" w:cs="Arial"/>
          <w:color w:val="0070C0"/>
          <w:sz w:val="24"/>
          <w:szCs w:val="24"/>
        </w:rPr>
      </w:pPr>
      <w:r w:rsidRPr="00046A91">
        <w:rPr>
          <w:rFonts w:ascii="Arial" w:hAnsi="Arial" w:cs="Arial"/>
          <w:color w:val="0070C0"/>
          <w:sz w:val="24"/>
          <w:szCs w:val="24"/>
        </w:rPr>
        <w:t xml:space="preserve">I assume this </w:t>
      </w:r>
      <w:r>
        <w:rPr>
          <w:rFonts w:ascii="Arial" w:hAnsi="Arial" w:cs="Arial"/>
          <w:color w:val="0070C0"/>
          <w:sz w:val="24"/>
          <w:szCs w:val="24"/>
        </w:rPr>
        <w:t>deals with</w:t>
      </w:r>
      <w:r w:rsidRPr="00046A91">
        <w:rPr>
          <w:rFonts w:ascii="Arial" w:hAnsi="Arial" w:cs="Arial"/>
          <w:color w:val="0070C0"/>
          <w:sz w:val="24"/>
          <w:szCs w:val="24"/>
        </w:rPr>
        <w:t xml:space="preserve"> the </w:t>
      </w:r>
      <w:r>
        <w:rPr>
          <w:rFonts w:ascii="Arial" w:hAnsi="Arial" w:cs="Arial"/>
          <w:color w:val="0070C0"/>
          <w:sz w:val="24"/>
          <w:szCs w:val="24"/>
        </w:rPr>
        <w:t>hostel income</w:t>
      </w:r>
      <w:r w:rsidRPr="00046A91">
        <w:rPr>
          <w:rFonts w:ascii="Arial" w:hAnsi="Arial" w:cs="Arial"/>
          <w:color w:val="0070C0"/>
          <w:sz w:val="24"/>
          <w:szCs w:val="24"/>
        </w:rPr>
        <w:t xml:space="preserve"> issue referred to in LBTH’s Statement of Case as referred to in Section 3.13 above.</w:t>
      </w:r>
    </w:p>
    <w:p w:rsidR="00516C22" w:rsidRDefault="00DB6999" w:rsidP="000073E1">
      <w:pPr>
        <w:spacing w:after="0" w:line="480" w:lineRule="auto"/>
        <w:ind w:left="142" w:hanging="709"/>
        <w:jc w:val="both"/>
        <w:rPr>
          <w:rFonts w:ascii="Arial" w:hAnsi="Arial" w:cs="Arial"/>
          <w:sz w:val="24"/>
          <w:szCs w:val="24"/>
        </w:rPr>
      </w:pPr>
      <w:r w:rsidRPr="00DB6999">
        <w:rPr>
          <w:rFonts w:ascii="Arial" w:hAnsi="Arial" w:cs="Arial"/>
          <w:sz w:val="24"/>
          <w:szCs w:val="24"/>
        </w:rPr>
        <w:t>4.5</w:t>
      </w:r>
      <w:r w:rsidRPr="00DB6999">
        <w:rPr>
          <w:rFonts w:ascii="Arial" w:hAnsi="Arial" w:cs="Arial"/>
          <w:sz w:val="24"/>
          <w:szCs w:val="24"/>
        </w:rPr>
        <w:tab/>
      </w:r>
      <w:r w:rsidR="000A673A" w:rsidRPr="00DB6999">
        <w:rPr>
          <w:rFonts w:ascii="Arial" w:hAnsi="Arial" w:cs="Arial"/>
          <w:sz w:val="24"/>
          <w:szCs w:val="24"/>
        </w:rPr>
        <w:t>In BNPP’s S.6.9, they s</w:t>
      </w:r>
      <w:r w:rsidR="003733E0" w:rsidRPr="00DB6999">
        <w:rPr>
          <w:rFonts w:ascii="Arial" w:hAnsi="Arial" w:cs="Arial"/>
          <w:sz w:val="24"/>
          <w:szCs w:val="24"/>
        </w:rPr>
        <w:t xml:space="preserve">ay it is counterintuitive that the same room rate would apply to hostel and HMO units, the latter intended for longer term occupation and the former for short stays. </w:t>
      </w:r>
      <w:r w:rsidR="00516C22">
        <w:rPr>
          <w:rFonts w:ascii="Arial" w:hAnsi="Arial" w:cs="Arial"/>
          <w:sz w:val="24"/>
          <w:szCs w:val="24"/>
        </w:rPr>
        <w:t>They refer to the Rapleys assumptions of:-</w:t>
      </w:r>
    </w:p>
    <w:p w:rsidR="00516C22" w:rsidRDefault="00516C22" w:rsidP="00516C22">
      <w:pPr>
        <w:ind w:left="142"/>
        <w:jc w:val="both"/>
        <w:rPr>
          <w:rFonts w:ascii="Arial" w:hAnsi="Arial" w:cs="Arial"/>
          <w:sz w:val="24"/>
          <w:szCs w:val="24"/>
        </w:rPr>
      </w:pPr>
      <w:r>
        <w:rPr>
          <w:rFonts w:ascii="Arial" w:hAnsi="Arial" w:cs="Arial"/>
          <w:sz w:val="24"/>
          <w:szCs w:val="24"/>
        </w:rPr>
        <w:t>Single</w:t>
      </w:r>
      <w:r>
        <w:rPr>
          <w:rFonts w:ascii="Arial" w:hAnsi="Arial" w:cs="Arial"/>
          <w:sz w:val="24"/>
          <w:szCs w:val="24"/>
        </w:rPr>
        <w:tab/>
      </w:r>
      <w:r>
        <w:rPr>
          <w:rFonts w:ascii="Arial" w:hAnsi="Arial" w:cs="Arial"/>
          <w:sz w:val="24"/>
          <w:szCs w:val="24"/>
        </w:rPr>
        <w:tab/>
        <w:t>-</w:t>
      </w:r>
      <w:r>
        <w:rPr>
          <w:rFonts w:ascii="Arial" w:hAnsi="Arial" w:cs="Arial"/>
          <w:sz w:val="24"/>
          <w:szCs w:val="24"/>
        </w:rPr>
        <w:tab/>
        <w:t>£1,000 p.c.m.</w:t>
      </w:r>
    </w:p>
    <w:p w:rsidR="00516C22" w:rsidRDefault="00516C22" w:rsidP="00516C22">
      <w:pPr>
        <w:ind w:left="142"/>
        <w:jc w:val="both"/>
        <w:rPr>
          <w:rFonts w:ascii="Arial" w:hAnsi="Arial" w:cs="Arial"/>
          <w:sz w:val="24"/>
          <w:szCs w:val="24"/>
        </w:rPr>
      </w:pPr>
      <w:r>
        <w:rPr>
          <w:rFonts w:ascii="Arial" w:hAnsi="Arial" w:cs="Arial"/>
          <w:sz w:val="24"/>
          <w:szCs w:val="24"/>
        </w:rPr>
        <w:t>Double</w:t>
      </w:r>
      <w:r>
        <w:rPr>
          <w:rFonts w:ascii="Arial" w:hAnsi="Arial" w:cs="Arial"/>
          <w:sz w:val="24"/>
          <w:szCs w:val="24"/>
        </w:rPr>
        <w:tab/>
      </w:r>
      <w:r>
        <w:rPr>
          <w:rFonts w:ascii="Arial" w:hAnsi="Arial" w:cs="Arial"/>
          <w:sz w:val="24"/>
          <w:szCs w:val="24"/>
        </w:rPr>
        <w:tab/>
        <w:t>-</w:t>
      </w:r>
      <w:r>
        <w:rPr>
          <w:rFonts w:ascii="Arial" w:hAnsi="Arial" w:cs="Arial"/>
          <w:sz w:val="24"/>
          <w:szCs w:val="24"/>
        </w:rPr>
        <w:tab/>
        <w:t>£1,083 p.c.m</w:t>
      </w:r>
    </w:p>
    <w:p w:rsidR="00516C22" w:rsidRDefault="00516C22" w:rsidP="00516C22">
      <w:pPr>
        <w:ind w:left="142"/>
        <w:jc w:val="both"/>
        <w:rPr>
          <w:rFonts w:ascii="Arial" w:hAnsi="Arial" w:cs="Arial"/>
          <w:sz w:val="24"/>
          <w:szCs w:val="24"/>
        </w:rPr>
      </w:pPr>
      <w:r>
        <w:rPr>
          <w:rFonts w:ascii="Arial" w:hAnsi="Arial" w:cs="Arial"/>
          <w:sz w:val="24"/>
          <w:szCs w:val="24"/>
        </w:rPr>
        <w:t>Accessi</w:t>
      </w:r>
      <w:r w:rsidR="00235B1C">
        <w:rPr>
          <w:rFonts w:ascii="Arial" w:hAnsi="Arial" w:cs="Arial"/>
          <w:sz w:val="24"/>
          <w:szCs w:val="24"/>
        </w:rPr>
        <w:t>b</w:t>
      </w:r>
      <w:r>
        <w:rPr>
          <w:rFonts w:ascii="Arial" w:hAnsi="Arial" w:cs="Arial"/>
          <w:sz w:val="24"/>
          <w:szCs w:val="24"/>
        </w:rPr>
        <w:t>le</w:t>
      </w:r>
      <w:r>
        <w:rPr>
          <w:rFonts w:ascii="Arial" w:hAnsi="Arial" w:cs="Arial"/>
          <w:sz w:val="24"/>
          <w:szCs w:val="24"/>
        </w:rPr>
        <w:tab/>
      </w:r>
      <w:r>
        <w:rPr>
          <w:rFonts w:ascii="Arial" w:hAnsi="Arial" w:cs="Arial"/>
          <w:sz w:val="24"/>
          <w:szCs w:val="24"/>
        </w:rPr>
        <w:tab/>
        <w:t>-</w:t>
      </w:r>
      <w:r>
        <w:rPr>
          <w:rFonts w:ascii="Arial" w:hAnsi="Arial" w:cs="Arial"/>
          <w:sz w:val="24"/>
          <w:szCs w:val="24"/>
        </w:rPr>
        <w:tab/>
        <w:t>£1,100 p.cm.</w:t>
      </w:r>
    </w:p>
    <w:p w:rsidR="00516C22" w:rsidRDefault="00810C45" w:rsidP="000073E1">
      <w:pPr>
        <w:spacing w:after="0" w:line="480" w:lineRule="auto"/>
        <w:ind w:left="142"/>
        <w:jc w:val="both"/>
        <w:rPr>
          <w:rFonts w:ascii="Arial" w:hAnsi="Arial" w:cs="Arial"/>
          <w:sz w:val="24"/>
          <w:szCs w:val="24"/>
        </w:rPr>
      </w:pPr>
      <w:r>
        <w:rPr>
          <w:rFonts w:ascii="Arial" w:hAnsi="Arial" w:cs="Arial"/>
          <w:sz w:val="24"/>
          <w:szCs w:val="24"/>
        </w:rPr>
        <w:t>BNPP say that the Rapley’s gross achievable annual income for the proposed single hostel rooms (i.e. £12,000 p.a) equates to £2.73 per room</w:t>
      </w:r>
      <w:r w:rsidR="00516C22">
        <w:rPr>
          <w:rFonts w:ascii="Arial" w:hAnsi="Arial" w:cs="Arial"/>
          <w:sz w:val="24"/>
          <w:szCs w:val="24"/>
        </w:rPr>
        <w:t xml:space="preserve"> or per person per night</w:t>
      </w:r>
      <w:r>
        <w:rPr>
          <w:rFonts w:ascii="Arial" w:hAnsi="Arial" w:cs="Arial"/>
          <w:sz w:val="24"/>
          <w:szCs w:val="24"/>
        </w:rPr>
        <w:t>. However,</w:t>
      </w:r>
      <w:r w:rsidR="00D771EF">
        <w:rPr>
          <w:rFonts w:ascii="Arial" w:hAnsi="Arial" w:cs="Arial"/>
          <w:sz w:val="24"/>
          <w:szCs w:val="24"/>
        </w:rPr>
        <w:t xml:space="preserve"> this is incorrect as</w:t>
      </w:r>
      <w:r>
        <w:rPr>
          <w:rFonts w:ascii="Arial" w:hAnsi="Arial" w:cs="Arial"/>
          <w:sz w:val="24"/>
          <w:szCs w:val="24"/>
        </w:rPr>
        <w:t xml:space="preserve"> it equates to £12,000/365 = £32.88 per night. BNPP also claim that the Rapleys room rate per night per double</w:t>
      </w:r>
      <w:r w:rsidR="00516C22">
        <w:rPr>
          <w:rFonts w:ascii="Arial" w:hAnsi="Arial" w:cs="Arial"/>
          <w:sz w:val="24"/>
          <w:szCs w:val="24"/>
        </w:rPr>
        <w:t xml:space="preserve"> room</w:t>
      </w:r>
      <w:r>
        <w:rPr>
          <w:rFonts w:ascii="Arial" w:hAnsi="Arial" w:cs="Arial"/>
          <w:sz w:val="24"/>
          <w:szCs w:val="24"/>
        </w:rPr>
        <w:t xml:space="preserve"> </w:t>
      </w:r>
      <w:r w:rsidR="00516C22">
        <w:rPr>
          <w:rFonts w:ascii="Arial" w:hAnsi="Arial" w:cs="Arial"/>
          <w:sz w:val="24"/>
          <w:szCs w:val="24"/>
        </w:rPr>
        <w:t xml:space="preserve">(which is actually envisaged as being a twin room without exclusivity) </w:t>
      </w:r>
      <w:r>
        <w:rPr>
          <w:rFonts w:ascii="Arial" w:hAnsi="Arial" w:cs="Arial"/>
          <w:sz w:val="24"/>
          <w:szCs w:val="24"/>
        </w:rPr>
        <w:t xml:space="preserve">equates to £2.96 per night. However, </w:t>
      </w:r>
      <w:r w:rsidR="00D771EF">
        <w:rPr>
          <w:rFonts w:ascii="Arial" w:hAnsi="Arial" w:cs="Arial"/>
          <w:sz w:val="24"/>
          <w:szCs w:val="24"/>
        </w:rPr>
        <w:t xml:space="preserve">this is also incorrect as </w:t>
      </w:r>
      <w:r>
        <w:rPr>
          <w:rFonts w:ascii="Arial" w:hAnsi="Arial" w:cs="Arial"/>
          <w:sz w:val="24"/>
          <w:szCs w:val="24"/>
        </w:rPr>
        <w:t xml:space="preserve">it </w:t>
      </w:r>
      <w:r w:rsidR="00516C22">
        <w:rPr>
          <w:rFonts w:ascii="Arial" w:hAnsi="Arial" w:cs="Arial"/>
          <w:sz w:val="24"/>
          <w:szCs w:val="24"/>
        </w:rPr>
        <w:t xml:space="preserve">equates to £17.80 per person per night (i.e. £12,996/365/2 = £17.80 per night). </w:t>
      </w:r>
      <w:r w:rsidR="00D771EF">
        <w:rPr>
          <w:rFonts w:ascii="Arial" w:hAnsi="Arial" w:cs="Arial"/>
          <w:sz w:val="24"/>
          <w:szCs w:val="24"/>
        </w:rPr>
        <w:t xml:space="preserve">It would appear that BNPP have not multiplied the monthly rent by 12 before dividing it by 365. </w:t>
      </w:r>
      <w:r w:rsidR="00516C22">
        <w:rPr>
          <w:rFonts w:ascii="Arial" w:hAnsi="Arial" w:cs="Arial"/>
          <w:sz w:val="24"/>
          <w:szCs w:val="24"/>
        </w:rPr>
        <w:t>BNPP then compare th</w:t>
      </w:r>
      <w:r w:rsidR="00D771EF">
        <w:rPr>
          <w:rFonts w:ascii="Arial" w:hAnsi="Arial" w:cs="Arial"/>
          <w:sz w:val="24"/>
          <w:szCs w:val="24"/>
        </w:rPr>
        <w:t xml:space="preserve">eir £2.73 and £2.96 </w:t>
      </w:r>
      <w:r w:rsidR="00516C22">
        <w:rPr>
          <w:rFonts w:ascii="Arial" w:hAnsi="Arial" w:cs="Arial"/>
          <w:sz w:val="24"/>
          <w:szCs w:val="24"/>
        </w:rPr>
        <w:t xml:space="preserve">to ‘asking’ rates within the existing hostel where room ‘sharer’ rates (i.e. sharing with what could be strangers) range from £14 - £24 per night with the highest rate being in a 4 person room. </w:t>
      </w:r>
    </w:p>
    <w:p w:rsidR="00810C45" w:rsidRDefault="00516C22" w:rsidP="000073E1">
      <w:pPr>
        <w:spacing w:after="0" w:line="480" w:lineRule="auto"/>
        <w:ind w:left="142"/>
        <w:jc w:val="both"/>
        <w:rPr>
          <w:rFonts w:ascii="Arial" w:hAnsi="Arial" w:cs="Arial"/>
          <w:sz w:val="24"/>
          <w:szCs w:val="24"/>
        </w:rPr>
      </w:pPr>
      <w:r>
        <w:rPr>
          <w:rFonts w:ascii="Arial" w:hAnsi="Arial" w:cs="Arial"/>
          <w:sz w:val="24"/>
          <w:szCs w:val="24"/>
        </w:rPr>
        <w:t>In my opinion, the hostel room rates Rapleys assumed for single rooms are too low per person per night although the cap here is what</w:t>
      </w:r>
      <w:r w:rsidR="00C816B1">
        <w:rPr>
          <w:rFonts w:ascii="Arial" w:hAnsi="Arial" w:cs="Arial"/>
          <w:sz w:val="24"/>
          <w:szCs w:val="24"/>
        </w:rPr>
        <w:t xml:space="preserve"> </w:t>
      </w:r>
      <w:r>
        <w:rPr>
          <w:rFonts w:ascii="Arial" w:hAnsi="Arial" w:cs="Arial"/>
          <w:sz w:val="24"/>
          <w:szCs w:val="24"/>
        </w:rPr>
        <w:t>single room rates are in budget hotels nearby (</w:t>
      </w:r>
      <w:r w:rsidR="00C816B1">
        <w:rPr>
          <w:rFonts w:ascii="Arial" w:hAnsi="Arial" w:cs="Arial"/>
          <w:sz w:val="24"/>
          <w:szCs w:val="24"/>
        </w:rPr>
        <w:t xml:space="preserve">whereupon I consider it reasonable to assume a premium would be achievable in a hotel compared to a hostel based upon better brand awareness, concept awareness and perceived personal safety). </w:t>
      </w:r>
      <w:r>
        <w:rPr>
          <w:rFonts w:ascii="Arial" w:hAnsi="Arial" w:cs="Arial"/>
          <w:sz w:val="24"/>
          <w:szCs w:val="24"/>
        </w:rPr>
        <w:t xml:space="preserve"> </w:t>
      </w:r>
      <w:r w:rsidR="00C816B1">
        <w:rPr>
          <w:rFonts w:ascii="Arial" w:hAnsi="Arial" w:cs="Arial"/>
          <w:sz w:val="24"/>
          <w:szCs w:val="24"/>
        </w:rPr>
        <w:t xml:space="preserve"> Bearing this in mind, I note that the following (for example) </w:t>
      </w:r>
      <w:r w:rsidR="00D771EF">
        <w:rPr>
          <w:rFonts w:ascii="Arial" w:hAnsi="Arial" w:cs="Arial"/>
          <w:sz w:val="24"/>
          <w:szCs w:val="24"/>
        </w:rPr>
        <w:t>was a</w:t>
      </w:r>
      <w:r w:rsidR="00C816B1">
        <w:rPr>
          <w:rFonts w:ascii="Arial" w:hAnsi="Arial" w:cs="Arial"/>
          <w:sz w:val="24"/>
          <w:szCs w:val="24"/>
        </w:rPr>
        <w:t xml:space="preserve">vailable </w:t>
      </w:r>
      <w:r w:rsidR="00D771EF">
        <w:rPr>
          <w:rFonts w:ascii="Arial" w:hAnsi="Arial" w:cs="Arial"/>
          <w:sz w:val="24"/>
          <w:szCs w:val="24"/>
        </w:rPr>
        <w:t>on 1</w:t>
      </w:r>
      <w:r w:rsidR="00C816B1">
        <w:rPr>
          <w:rFonts w:ascii="Arial" w:hAnsi="Arial" w:cs="Arial"/>
          <w:sz w:val="24"/>
          <w:szCs w:val="24"/>
        </w:rPr>
        <w:t>7/9/202</w:t>
      </w:r>
      <w:r w:rsidR="00D771EF">
        <w:rPr>
          <w:rFonts w:ascii="Arial" w:hAnsi="Arial" w:cs="Arial"/>
          <w:sz w:val="24"/>
          <w:szCs w:val="24"/>
        </w:rPr>
        <w:t xml:space="preserve"> (including breakfast)</w:t>
      </w:r>
      <w:r w:rsidR="00C816B1">
        <w:rPr>
          <w:rFonts w:ascii="Arial" w:hAnsi="Arial" w:cs="Arial"/>
          <w:sz w:val="24"/>
          <w:szCs w:val="24"/>
        </w:rPr>
        <w:t>:-</w:t>
      </w:r>
    </w:p>
    <w:p w:rsidR="00810C45" w:rsidRDefault="00C816B1" w:rsidP="00DB6999">
      <w:pPr>
        <w:ind w:left="142" w:hanging="709"/>
        <w:jc w:val="both"/>
        <w:rPr>
          <w:rFonts w:ascii="Arial" w:hAnsi="Arial" w:cs="Arial"/>
          <w:sz w:val="24"/>
          <w:szCs w:val="24"/>
        </w:rPr>
      </w:pPr>
      <w:r>
        <w:rPr>
          <w:noProof/>
          <w:lang w:eastAsia="en-GB"/>
        </w:rPr>
        <w:drawing>
          <wp:inline distT="0" distB="0" distL="0" distR="0" wp14:anchorId="2EBF33EA" wp14:editId="43932198">
            <wp:extent cx="6473947" cy="4796287"/>
            <wp:effectExtent l="0" t="0" r="317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8219" cy="4799452"/>
                    </a:xfrm>
                    <a:prstGeom prst="rect">
                      <a:avLst/>
                    </a:prstGeom>
                  </pic:spPr>
                </pic:pic>
              </a:graphicData>
            </a:graphic>
          </wp:inline>
        </w:drawing>
      </w:r>
    </w:p>
    <w:p w:rsidR="00C816B1" w:rsidRDefault="00C816B1" w:rsidP="00DB6999">
      <w:pPr>
        <w:ind w:left="142" w:hanging="709"/>
        <w:jc w:val="both"/>
        <w:rPr>
          <w:rFonts w:ascii="Arial" w:hAnsi="Arial" w:cs="Arial"/>
          <w:sz w:val="24"/>
          <w:szCs w:val="24"/>
        </w:rPr>
      </w:pPr>
    </w:p>
    <w:p w:rsidR="00C816B1" w:rsidRDefault="00C816B1" w:rsidP="000073E1">
      <w:pPr>
        <w:spacing w:after="0" w:line="480" w:lineRule="auto"/>
        <w:ind w:left="142"/>
        <w:jc w:val="both"/>
        <w:rPr>
          <w:rFonts w:ascii="Arial" w:hAnsi="Arial" w:cs="Arial"/>
          <w:sz w:val="24"/>
          <w:szCs w:val="24"/>
        </w:rPr>
      </w:pPr>
      <w:r>
        <w:rPr>
          <w:rFonts w:ascii="Arial" w:hAnsi="Arial" w:cs="Arial"/>
          <w:sz w:val="24"/>
          <w:szCs w:val="24"/>
        </w:rPr>
        <w:t xml:space="preserve">Although exclusive twin and double room </w:t>
      </w:r>
      <w:r w:rsidR="00D771EF">
        <w:rPr>
          <w:rFonts w:ascii="Arial" w:hAnsi="Arial" w:cs="Arial"/>
          <w:sz w:val="24"/>
          <w:szCs w:val="24"/>
        </w:rPr>
        <w:t>‘</w:t>
      </w:r>
      <w:r>
        <w:rPr>
          <w:rFonts w:ascii="Arial" w:hAnsi="Arial" w:cs="Arial"/>
          <w:sz w:val="24"/>
          <w:szCs w:val="24"/>
        </w:rPr>
        <w:t>asking</w:t>
      </w:r>
      <w:r w:rsidR="00D771EF">
        <w:rPr>
          <w:rFonts w:ascii="Arial" w:hAnsi="Arial" w:cs="Arial"/>
          <w:sz w:val="24"/>
          <w:szCs w:val="24"/>
        </w:rPr>
        <w:t>’</w:t>
      </w:r>
      <w:r>
        <w:rPr>
          <w:rFonts w:ascii="Arial" w:hAnsi="Arial" w:cs="Arial"/>
          <w:sz w:val="24"/>
          <w:szCs w:val="24"/>
        </w:rPr>
        <w:t xml:space="preserve"> rates at the existing hostel have recently been £79.20 per night and £84.60 per night, I consider these rates to be overly-optimistic in light of the comp</w:t>
      </w:r>
      <w:r w:rsidR="00966A9E">
        <w:rPr>
          <w:rFonts w:ascii="Arial" w:hAnsi="Arial" w:cs="Arial"/>
          <w:sz w:val="24"/>
          <w:szCs w:val="24"/>
        </w:rPr>
        <w:t>etition</w:t>
      </w:r>
      <w:r>
        <w:rPr>
          <w:rFonts w:ascii="Arial" w:hAnsi="Arial" w:cs="Arial"/>
          <w:sz w:val="24"/>
          <w:szCs w:val="24"/>
        </w:rPr>
        <w:t>. A rate of £</w:t>
      </w:r>
      <w:r w:rsidR="009D64FA">
        <w:rPr>
          <w:rFonts w:ascii="Arial" w:hAnsi="Arial" w:cs="Arial"/>
          <w:sz w:val="24"/>
          <w:szCs w:val="24"/>
        </w:rPr>
        <w:t>45</w:t>
      </w:r>
      <w:r>
        <w:rPr>
          <w:rFonts w:ascii="Arial" w:hAnsi="Arial" w:cs="Arial"/>
          <w:sz w:val="24"/>
          <w:szCs w:val="24"/>
        </w:rPr>
        <w:t xml:space="preserve"> per night seems more appropriate and still optimistic bearing in mind the room at the Travelodge above is a double room.</w:t>
      </w:r>
    </w:p>
    <w:p w:rsidR="00BA00BE" w:rsidRDefault="009D64FA" w:rsidP="000073E1">
      <w:pPr>
        <w:spacing w:after="0" w:line="480" w:lineRule="auto"/>
        <w:ind w:left="142"/>
        <w:jc w:val="both"/>
        <w:rPr>
          <w:rFonts w:ascii="Arial" w:hAnsi="Arial" w:cs="Arial"/>
          <w:sz w:val="24"/>
          <w:szCs w:val="24"/>
        </w:rPr>
      </w:pPr>
      <w:r>
        <w:rPr>
          <w:rFonts w:ascii="Arial" w:hAnsi="Arial" w:cs="Arial"/>
          <w:sz w:val="24"/>
          <w:szCs w:val="24"/>
        </w:rPr>
        <w:t>With respect to twin rooms (non-exclusive), I consider that prospective sharers would prefer to share with a larger number of strangers than one. As such, I would not expect achievable rates in these rooms to more than £</w:t>
      </w:r>
      <w:r w:rsidR="00BA00BE">
        <w:rPr>
          <w:rFonts w:ascii="Arial" w:hAnsi="Arial" w:cs="Arial"/>
          <w:sz w:val="24"/>
          <w:szCs w:val="24"/>
        </w:rPr>
        <w:t>20</w:t>
      </w:r>
      <w:r>
        <w:rPr>
          <w:rFonts w:ascii="Arial" w:hAnsi="Arial" w:cs="Arial"/>
          <w:sz w:val="24"/>
          <w:szCs w:val="24"/>
        </w:rPr>
        <w:t xml:space="preserve"> per night per person and the same would apply to non-exclusive accessible rooms</w:t>
      </w:r>
      <w:r w:rsidR="00BA00BE">
        <w:rPr>
          <w:rFonts w:ascii="Arial" w:hAnsi="Arial" w:cs="Arial"/>
          <w:sz w:val="24"/>
          <w:szCs w:val="24"/>
        </w:rPr>
        <w:t xml:space="preserve"> accommodating 2 people per room.</w:t>
      </w:r>
    </w:p>
    <w:p w:rsidR="00BA00BE" w:rsidRDefault="00BA00BE" w:rsidP="000073E1">
      <w:pPr>
        <w:spacing w:after="0" w:line="480" w:lineRule="auto"/>
        <w:ind w:left="142"/>
        <w:jc w:val="both"/>
        <w:rPr>
          <w:rFonts w:ascii="Arial" w:hAnsi="Arial" w:cs="Arial"/>
          <w:sz w:val="24"/>
          <w:szCs w:val="24"/>
        </w:rPr>
      </w:pPr>
      <w:r>
        <w:rPr>
          <w:rFonts w:ascii="Arial" w:hAnsi="Arial" w:cs="Arial"/>
          <w:sz w:val="24"/>
          <w:szCs w:val="24"/>
        </w:rPr>
        <w:t>As such I consider the achievable gross rents from the proposed Appeal Scheme hostel element to be:-</w:t>
      </w:r>
    </w:p>
    <w:p w:rsidR="00BA00BE" w:rsidRDefault="00BA00BE" w:rsidP="00BA00BE">
      <w:pPr>
        <w:ind w:left="142"/>
        <w:jc w:val="both"/>
        <w:rPr>
          <w:rFonts w:ascii="Arial" w:hAnsi="Arial" w:cs="Arial"/>
          <w:sz w:val="24"/>
          <w:szCs w:val="24"/>
        </w:rPr>
      </w:pPr>
      <w:r>
        <w:rPr>
          <w:rFonts w:ascii="Arial" w:hAnsi="Arial" w:cs="Arial"/>
          <w:sz w:val="24"/>
          <w:szCs w:val="24"/>
        </w:rPr>
        <w:t>Singles @ £45 per night x 9 people x 365 days =</w:t>
      </w:r>
      <w:r>
        <w:rPr>
          <w:rFonts w:ascii="Arial" w:hAnsi="Arial" w:cs="Arial"/>
          <w:sz w:val="24"/>
          <w:szCs w:val="24"/>
        </w:rPr>
        <w:tab/>
      </w:r>
      <w:r>
        <w:rPr>
          <w:rFonts w:ascii="Arial" w:hAnsi="Arial" w:cs="Arial"/>
          <w:sz w:val="24"/>
          <w:szCs w:val="24"/>
        </w:rPr>
        <w:tab/>
      </w:r>
      <w:r>
        <w:rPr>
          <w:rFonts w:ascii="Arial" w:hAnsi="Arial" w:cs="Arial"/>
          <w:sz w:val="24"/>
          <w:szCs w:val="24"/>
        </w:rPr>
        <w:tab/>
        <w:t>£147,825 p.a.</w:t>
      </w:r>
    </w:p>
    <w:p w:rsidR="00BA00BE" w:rsidRDefault="00BA00BE" w:rsidP="00BA00BE">
      <w:pPr>
        <w:ind w:left="142"/>
        <w:jc w:val="both"/>
        <w:rPr>
          <w:rFonts w:ascii="Arial" w:hAnsi="Arial" w:cs="Arial"/>
          <w:sz w:val="24"/>
          <w:szCs w:val="24"/>
        </w:rPr>
      </w:pPr>
      <w:r>
        <w:rPr>
          <w:rFonts w:ascii="Arial" w:hAnsi="Arial" w:cs="Arial"/>
          <w:sz w:val="24"/>
          <w:szCs w:val="24"/>
        </w:rPr>
        <w:t>Twins (non exclusive) @ £20 per night x 24 people x 365 days =</w:t>
      </w:r>
      <w:r>
        <w:rPr>
          <w:rFonts w:ascii="Arial" w:hAnsi="Arial" w:cs="Arial"/>
          <w:sz w:val="24"/>
          <w:szCs w:val="24"/>
        </w:rPr>
        <w:tab/>
        <w:t>£131,400 p.a.</w:t>
      </w:r>
    </w:p>
    <w:p w:rsidR="00BA00BE" w:rsidRDefault="00BA00BE" w:rsidP="00BA00BE">
      <w:pPr>
        <w:ind w:left="142"/>
        <w:jc w:val="both"/>
        <w:rPr>
          <w:rFonts w:ascii="Arial" w:hAnsi="Arial" w:cs="Arial"/>
          <w:sz w:val="24"/>
          <w:szCs w:val="24"/>
        </w:rPr>
      </w:pPr>
      <w:r>
        <w:rPr>
          <w:rFonts w:ascii="Arial" w:hAnsi="Arial" w:cs="Arial"/>
          <w:sz w:val="24"/>
          <w:szCs w:val="24"/>
        </w:rPr>
        <w:t>Accessibles (non ex) @ £20 per night x 8 people x 365 days =</w:t>
      </w:r>
      <w:r>
        <w:rPr>
          <w:rFonts w:ascii="Arial" w:hAnsi="Arial" w:cs="Arial"/>
          <w:sz w:val="24"/>
          <w:szCs w:val="24"/>
        </w:rPr>
        <w:tab/>
        <w:t>£58,400 p.a.</w:t>
      </w:r>
    </w:p>
    <w:p w:rsidR="00BA00BE" w:rsidRDefault="00BA00BE" w:rsidP="00BA00BE">
      <w:pPr>
        <w:ind w:left="14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BA00BE" w:rsidRDefault="00BA00BE" w:rsidP="00BA00BE">
      <w:pPr>
        <w:ind w:left="14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£337,625 p.a.</w:t>
      </w:r>
    </w:p>
    <w:p w:rsidR="00BA00BE" w:rsidRDefault="00DF4053" w:rsidP="000073E1">
      <w:pPr>
        <w:spacing w:after="0" w:line="480" w:lineRule="auto"/>
        <w:ind w:left="142"/>
        <w:jc w:val="both"/>
        <w:rPr>
          <w:rFonts w:ascii="Arial" w:hAnsi="Arial" w:cs="Arial"/>
          <w:sz w:val="24"/>
          <w:szCs w:val="24"/>
        </w:rPr>
      </w:pPr>
      <w:r>
        <w:rPr>
          <w:rFonts w:ascii="Arial" w:hAnsi="Arial" w:cs="Arial"/>
          <w:sz w:val="24"/>
          <w:szCs w:val="24"/>
        </w:rPr>
        <w:t>My £337,625 is therefore lower than the Rapleys total gross income assumption p.a.</w:t>
      </w:r>
    </w:p>
    <w:p w:rsidR="00516C22" w:rsidRDefault="00516C22" w:rsidP="000073E1">
      <w:pPr>
        <w:spacing w:after="0" w:line="480" w:lineRule="auto"/>
        <w:ind w:left="142"/>
        <w:jc w:val="both"/>
        <w:rPr>
          <w:rFonts w:ascii="Arial" w:hAnsi="Arial" w:cs="Arial"/>
          <w:sz w:val="24"/>
          <w:szCs w:val="24"/>
        </w:rPr>
      </w:pPr>
      <w:r>
        <w:rPr>
          <w:rFonts w:ascii="Arial" w:hAnsi="Arial" w:cs="Arial"/>
          <w:sz w:val="24"/>
          <w:szCs w:val="24"/>
        </w:rPr>
        <w:t xml:space="preserve">My conclusion in light of my comments in Sections 4.4 and 4.5 above is that, there is no justification for BNPP to have increased our achievable gross annual rent assumption for the Appeal Scheme hostel element from </w:t>
      </w:r>
      <w:r w:rsidR="00E514A6">
        <w:rPr>
          <w:rFonts w:ascii="Arial" w:hAnsi="Arial" w:cs="Arial"/>
          <w:sz w:val="24"/>
          <w:szCs w:val="24"/>
        </w:rPr>
        <w:t xml:space="preserve">circa </w:t>
      </w:r>
      <w:r>
        <w:rPr>
          <w:rFonts w:ascii="Arial" w:hAnsi="Arial" w:cs="Arial"/>
          <w:sz w:val="24"/>
          <w:szCs w:val="24"/>
        </w:rPr>
        <w:t>£3</w:t>
      </w:r>
      <w:r w:rsidR="00E514A6">
        <w:rPr>
          <w:rFonts w:ascii="Arial" w:hAnsi="Arial" w:cs="Arial"/>
          <w:sz w:val="24"/>
          <w:szCs w:val="24"/>
        </w:rPr>
        <w:t>40,000</w:t>
      </w:r>
      <w:r>
        <w:rPr>
          <w:rFonts w:ascii="Arial" w:hAnsi="Arial" w:cs="Arial"/>
          <w:sz w:val="24"/>
          <w:szCs w:val="24"/>
        </w:rPr>
        <w:t xml:space="preserve"> p.a. to £784,176 p.a. and/or to add £4,607,153 to the Rapleys and/or my GDV. BNPP have over-stated their GDV by </w:t>
      </w:r>
      <w:r w:rsidR="003B7287">
        <w:rPr>
          <w:rFonts w:ascii="Arial" w:hAnsi="Arial" w:cs="Arial"/>
          <w:sz w:val="24"/>
          <w:szCs w:val="24"/>
        </w:rPr>
        <w:t xml:space="preserve">at least </w:t>
      </w:r>
      <w:r>
        <w:rPr>
          <w:rFonts w:ascii="Arial" w:hAnsi="Arial" w:cs="Arial"/>
          <w:sz w:val="24"/>
          <w:szCs w:val="24"/>
        </w:rPr>
        <w:t>£4,607,153 which, if corrected, completely erodes the viability surplus BNPP claims to exist.</w:t>
      </w:r>
    </w:p>
    <w:p w:rsidR="00046A91" w:rsidRPr="00046A91" w:rsidRDefault="00046A91" w:rsidP="00046A91">
      <w:pPr>
        <w:spacing w:after="0" w:line="480" w:lineRule="auto"/>
        <w:ind w:left="142"/>
        <w:jc w:val="both"/>
        <w:rPr>
          <w:rFonts w:ascii="Arial" w:hAnsi="Arial" w:cs="Arial"/>
          <w:color w:val="0070C0"/>
          <w:sz w:val="24"/>
          <w:szCs w:val="24"/>
        </w:rPr>
      </w:pPr>
      <w:r w:rsidRPr="00046A91">
        <w:rPr>
          <w:rFonts w:ascii="Arial" w:hAnsi="Arial" w:cs="Arial"/>
          <w:color w:val="0070C0"/>
          <w:sz w:val="24"/>
          <w:szCs w:val="24"/>
        </w:rPr>
        <w:t xml:space="preserve">I assume this </w:t>
      </w:r>
      <w:r>
        <w:rPr>
          <w:rFonts w:ascii="Arial" w:hAnsi="Arial" w:cs="Arial"/>
          <w:color w:val="0070C0"/>
          <w:sz w:val="24"/>
          <w:szCs w:val="24"/>
        </w:rPr>
        <w:t>also deals with</w:t>
      </w:r>
      <w:r w:rsidRPr="00046A91">
        <w:rPr>
          <w:rFonts w:ascii="Arial" w:hAnsi="Arial" w:cs="Arial"/>
          <w:color w:val="0070C0"/>
          <w:sz w:val="24"/>
          <w:szCs w:val="24"/>
        </w:rPr>
        <w:t xml:space="preserve"> the </w:t>
      </w:r>
      <w:r>
        <w:rPr>
          <w:rFonts w:ascii="Arial" w:hAnsi="Arial" w:cs="Arial"/>
          <w:color w:val="0070C0"/>
          <w:sz w:val="24"/>
          <w:szCs w:val="24"/>
        </w:rPr>
        <w:t>hostel income</w:t>
      </w:r>
      <w:r w:rsidRPr="00046A91">
        <w:rPr>
          <w:rFonts w:ascii="Arial" w:hAnsi="Arial" w:cs="Arial"/>
          <w:color w:val="0070C0"/>
          <w:sz w:val="24"/>
          <w:szCs w:val="24"/>
        </w:rPr>
        <w:t xml:space="preserve"> issue referred to in LBTH’s Statement of Case as referred to in Section 3.13 above.</w:t>
      </w:r>
    </w:p>
    <w:p w:rsidR="00874CCE" w:rsidRDefault="00FB43CD" w:rsidP="00362DA8">
      <w:pPr>
        <w:spacing w:after="0" w:line="480" w:lineRule="auto"/>
        <w:ind w:left="142" w:hanging="709"/>
        <w:rPr>
          <w:rFonts w:ascii="Arial" w:hAnsi="Arial" w:cs="Arial"/>
          <w:sz w:val="24"/>
          <w:szCs w:val="24"/>
        </w:rPr>
      </w:pPr>
      <w:r>
        <w:rPr>
          <w:rFonts w:ascii="Arial" w:hAnsi="Arial" w:cs="Arial"/>
          <w:sz w:val="24"/>
          <w:szCs w:val="24"/>
        </w:rPr>
        <w:br w:type="page"/>
      </w:r>
      <w:r w:rsidR="00874CCE" w:rsidRPr="00874CCE">
        <w:rPr>
          <w:rFonts w:ascii="Arial" w:hAnsi="Arial" w:cs="Arial"/>
          <w:sz w:val="24"/>
          <w:szCs w:val="24"/>
        </w:rPr>
        <w:t>4.6</w:t>
      </w:r>
      <w:r w:rsidR="00874CCE" w:rsidRPr="00874CCE">
        <w:rPr>
          <w:rFonts w:ascii="Arial" w:hAnsi="Arial" w:cs="Arial"/>
        </w:rPr>
        <w:tab/>
      </w:r>
      <w:r w:rsidR="00874CCE" w:rsidRPr="00DB6999">
        <w:rPr>
          <w:rFonts w:ascii="Arial" w:hAnsi="Arial" w:cs="Arial"/>
          <w:sz w:val="24"/>
          <w:szCs w:val="24"/>
        </w:rPr>
        <w:t>In BNPP’s S.6.</w:t>
      </w:r>
      <w:r w:rsidR="00874CCE">
        <w:rPr>
          <w:rFonts w:ascii="Arial" w:hAnsi="Arial" w:cs="Arial"/>
          <w:sz w:val="24"/>
          <w:szCs w:val="24"/>
        </w:rPr>
        <w:t xml:space="preserve">12, </w:t>
      </w:r>
      <w:r w:rsidR="008A2198">
        <w:rPr>
          <w:rFonts w:ascii="Arial" w:hAnsi="Arial" w:cs="Arial"/>
          <w:sz w:val="24"/>
          <w:szCs w:val="24"/>
        </w:rPr>
        <w:t>they claim that Rapleys and/or I have not accounted for any food and beverage</w:t>
      </w:r>
      <w:r w:rsidR="0035683E">
        <w:rPr>
          <w:rFonts w:ascii="Arial" w:hAnsi="Arial" w:cs="Arial"/>
          <w:sz w:val="24"/>
          <w:szCs w:val="24"/>
        </w:rPr>
        <w:t xml:space="preserve"> (’F&amp;B’)</w:t>
      </w:r>
      <w:r w:rsidR="008A2198">
        <w:rPr>
          <w:rFonts w:ascii="Arial" w:hAnsi="Arial" w:cs="Arial"/>
          <w:sz w:val="24"/>
          <w:szCs w:val="24"/>
        </w:rPr>
        <w:t xml:space="preserve"> income in valuing the Appeal Scheme.</w:t>
      </w:r>
      <w:r w:rsidR="002C4338">
        <w:rPr>
          <w:rFonts w:ascii="Arial" w:hAnsi="Arial" w:cs="Arial"/>
          <w:sz w:val="24"/>
          <w:szCs w:val="24"/>
        </w:rPr>
        <w:t xml:space="preserve"> My valuation approach has been based upon investment transaction comparables where it is likely that some food and beverage income featured. Rapleys and Savills have no</w:t>
      </w:r>
      <w:r w:rsidR="0035683E">
        <w:rPr>
          <w:rFonts w:ascii="Arial" w:hAnsi="Arial" w:cs="Arial"/>
          <w:sz w:val="24"/>
          <w:szCs w:val="24"/>
        </w:rPr>
        <w:t>t explicitly accounted for any F&amp;B</w:t>
      </w:r>
      <w:r w:rsidR="002C4338">
        <w:rPr>
          <w:rFonts w:ascii="Arial" w:hAnsi="Arial" w:cs="Arial"/>
          <w:sz w:val="24"/>
          <w:szCs w:val="24"/>
        </w:rPr>
        <w:t xml:space="preserve"> income in their net rent capitalisation approach. </w:t>
      </w:r>
    </w:p>
    <w:p w:rsidR="00922C68" w:rsidRDefault="002C4338" w:rsidP="000073E1">
      <w:pPr>
        <w:spacing w:after="0" w:line="480" w:lineRule="auto"/>
        <w:ind w:left="142"/>
        <w:jc w:val="both"/>
        <w:rPr>
          <w:rFonts w:ascii="Arial" w:hAnsi="Arial" w:cs="Arial"/>
          <w:sz w:val="24"/>
          <w:szCs w:val="24"/>
        </w:rPr>
      </w:pPr>
      <w:r>
        <w:rPr>
          <w:rFonts w:ascii="Arial" w:hAnsi="Arial" w:cs="Arial"/>
          <w:sz w:val="24"/>
          <w:szCs w:val="24"/>
        </w:rPr>
        <w:t>BNPP refer to the gross</w:t>
      </w:r>
      <w:r w:rsidR="0035683E">
        <w:rPr>
          <w:rFonts w:ascii="Arial" w:hAnsi="Arial" w:cs="Arial"/>
          <w:sz w:val="24"/>
          <w:szCs w:val="24"/>
        </w:rPr>
        <w:t xml:space="preserve"> F&amp;B</w:t>
      </w:r>
      <w:r>
        <w:rPr>
          <w:rFonts w:ascii="Arial" w:hAnsi="Arial" w:cs="Arial"/>
          <w:sz w:val="24"/>
          <w:szCs w:val="24"/>
        </w:rPr>
        <w:t xml:space="preserve"> income that has been reported as being achieved for the existing hostel at £8,800 per month and have gone onto to assume </w:t>
      </w:r>
      <w:r w:rsidR="0035683E">
        <w:rPr>
          <w:rFonts w:ascii="Arial" w:hAnsi="Arial" w:cs="Arial"/>
          <w:sz w:val="24"/>
          <w:szCs w:val="24"/>
        </w:rPr>
        <w:t xml:space="preserve">a </w:t>
      </w:r>
      <w:r>
        <w:rPr>
          <w:rFonts w:ascii="Arial" w:hAnsi="Arial" w:cs="Arial"/>
          <w:sz w:val="24"/>
          <w:szCs w:val="24"/>
        </w:rPr>
        <w:t xml:space="preserve">gross </w:t>
      </w:r>
      <w:r w:rsidR="0035683E">
        <w:rPr>
          <w:rFonts w:ascii="Arial" w:hAnsi="Arial" w:cs="Arial"/>
          <w:sz w:val="24"/>
          <w:szCs w:val="24"/>
        </w:rPr>
        <w:t xml:space="preserve">F&amp;B </w:t>
      </w:r>
      <w:r>
        <w:rPr>
          <w:rFonts w:ascii="Arial" w:hAnsi="Arial" w:cs="Arial"/>
          <w:sz w:val="24"/>
          <w:szCs w:val="24"/>
        </w:rPr>
        <w:t xml:space="preserve">income for the Appeal Scheme </w:t>
      </w:r>
      <w:r w:rsidR="0035683E">
        <w:rPr>
          <w:rFonts w:ascii="Arial" w:hAnsi="Arial" w:cs="Arial"/>
          <w:sz w:val="24"/>
          <w:szCs w:val="24"/>
        </w:rPr>
        <w:t>of</w:t>
      </w:r>
      <w:r>
        <w:rPr>
          <w:rFonts w:ascii="Arial" w:hAnsi="Arial" w:cs="Arial"/>
          <w:sz w:val="24"/>
          <w:szCs w:val="24"/>
        </w:rPr>
        <w:t xml:space="preserve"> £6,000 per month. </w:t>
      </w:r>
      <w:r w:rsidR="00922C68">
        <w:rPr>
          <w:rFonts w:ascii="Arial" w:hAnsi="Arial" w:cs="Arial"/>
          <w:sz w:val="24"/>
          <w:szCs w:val="24"/>
        </w:rPr>
        <w:t>However:-</w:t>
      </w:r>
    </w:p>
    <w:p w:rsidR="002C4338" w:rsidRPr="00922C68" w:rsidRDefault="00922C68" w:rsidP="00E5632E">
      <w:pPr>
        <w:pStyle w:val="ListParagraph"/>
        <w:numPr>
          <w:ilvl w:val="0"/>
          <w:numId w:val="1"/>
        </w:numPr>
        <w:spacing w:after="0" w:line="480" w:lineRule="auto"/>
        <w:jc w:val="both"/>
        <w:rPr>
          <w:rFonts w:ascii="Arial" w:hAnsi="Arial" w:cs="Arial"/>
          <w:sz w:val="24"/>
          <w:szCs w:val="24"/>
        </w:rPr>
      </w:pPr>
      <w:r w:rsidRPr="00922C68">
        <w:rPr>
          <w:rFonts w:ascii="Arial" w:hAnsi="Arial" w:cs="Arial"/>
          <w:sz w:val="24"/>
          <w:szCs w:val="24"/>
        </w:rPr>
        <w:t>the existing hostel accommodates up to 263 people without access to their own or any significant communal kitchen facilities whereupon there is a large captive markets</w:t>
      </w:r>
      <w:r w:rsidR="004C7D97">
        <w:rPr>
          <w:rFonts w:ascii="Arial" w:hAnsi="Arial" w:cs="Arial"/>
          <w:sz w:val="24"/>
          <w:szCs w:val="24"/>
        </w:rPr>
        <w:t xml:space="preserve"> s</w:t>
      </w:r>
      <w:r w:rsidRPr="00922C68">
        <w:rPr>
          <w:rFonts w:ascii="Arial" w:hAnsi="Arial" w:cs="Arial"/>
          <w:sz w:val="24"/>
          <w:szCs w:val="24"/>
        </w:rPr>
        <w:t>erved by a central commercial kitchen/</w:t>
      </w:r>
      <w:r w:rsidR="00D26DCA">
        <w:rPr>
          <w:rFonts w:ascii="Arial" w:hAnsi="Arial" w:cs="Arial"/>
          <w:sz w:val="24"/>
          <w:szCs w:val="24"/>
        </w:rPr>
        <w:t>café</w:t>
      </w:r>
      <w:r w:rsidRPr="00922C68">
        <w:rPr>
          <w:rFonts w:ascii="Arial" w:hAnsi="Arial" w:cs="Arial"/>
          <w:sz w:val="24"/>
          <w:szCs w:val="24"/>
        </w:rPr>
        <w:t>.</w:t>
      </w:r>
    </w:p>
    <w:p w:rsidR="00922C68" w:rsidRPr="00922C68" w:rsidRDefault="00922C68" w:rsidP="00E5632E">
      <w:pPr>
        <w:pStyle w:val="ListParagraph"/>
        <w:numPr>
          <w:ilvl w:val="0"/>
          <w:numId w:val="1"/>
        </w:numPr>
        <w:spacing w:after="0" w:line="480" w:lineRule="auto"/>
        <w:jc w:val="both"/>
        <w:rPr>
          <w:rFonts w:ascii="Arial" w:hAnsi="Arial" w:cs="Arial"/>
          <w:sz w:val="24"/>
          <w:szCs w:val="24"/>
        </w:rPr>
      </w:pPr>
      <w:r w:rsidRPr="00922C68">
        <w:rPr>
          <w:rFonts w:ascii="Arial" w:hAnsi="Arial" w:cs="Arial"/>
          <w:sz w:val="24"/>
          <w:szCs w:val="24"/>
        </w:rPr>
        <w:t>the Appeal Scheme accommodates 185 people whereupon there are communal kitchens for the residents to prepare their own food and beverages and where there is no proposed central commercial café.</w:t>
      </w:r>
    </w:p>
    <w:p w:rsidR="00922C68" w:rsidRDefault="00922C68" w:rsidP="000073E1">
      <w:pPr>
        <w:spacing w:after="0" w:line="480" w:lineRule="auto"/>
        <w:ind w:left="142"/>
        <w:jc w:val="both"/>
        <w:rPr>
          <w:rFonts w:ascii="Arial" w:hAnsi="Arial" w:cs="Arial"/>
          <w:sz w:val="24"/>
          <w:szCs w:val="24"/>
        </w:rPr>
      </w:pPr>
      <w:r>
        <w:rPr>
          <w:rFonts w:ascii="Arial" w:hAnsi="Arial" w:cs="Arial"/>
          <w:sz w:val="24"/>
          <w:szCs w:val="24"/>
        </w:rPr>
        <w:t>There will be no scope to generate £6,000 p.c.m. within the Appeal Scheme and so it is not appropriate for BNPP to add £593,000 of extra GDV to reflect this.</w:t>
      </w:r>
    </w:p>
    <w:p w:rsidR="002C4338" w:rsidRDefault="002C4338" w:rsidP="000073E1">
      <w:pPr>
        <w:spacing w:after="0" w:line="480" w:lineRule="auto"/>
        <w:ind w:left="142"/>
        <w:jc w:val="both"/>
        <w:rPr>
          <w:rFonts w:ascii="Arial" w:hAnsi="Arial" w:cs="Arial"/>
        </w:rPr>
      </w:pPr>
    </w:p>
    <w:p w:rsidR="00874CCE" w:rsidRDefault="00874CCE" w:rsidP="000073E1">
      <w:pPr>
        <w:spacing w:after="0" w:line="480" w:lineRule="auto"/>
        <w:ind w:left="142" w:hanging="709"/>
        <w:jc w:val="both"/>
        <w:rPr>
          <w:rFonts w:ascii="Arial" w:hAnsi="Arial" w:cs="Arial"/>
        </w:rPr>
      </w:pPr>
    </w:p>
    <w:p w:rsidR="00922C68" w:rsidRDefault="00922C68" w:rsidP="000073E1">
      <w:pPr>
        <w:spacing w:after="0" w:line="480" w:lineRule="auto"/>
        <w:rPr>
          <w:rFonts w:ascii="Arial" w:hAnsi="Arial" w:cs="Arial"/>
        </w:rPr>
      </w:pPr>
      <w:r>
        <w:rPr>
          <w:rFonts w:ascii="Arial" w:hAnsi="Arial" w:cs="Arial"/>
        </w:rPr>
        <w:br w:type="page"/>
      </w:r>
    </w:p>
    <w:p w:rsidR="00153283" w:rsidRDefault="00874CCE" w:rsidP="000073E1">
      <w:pPr>
        <w:spacing w:after="0" w:line="480" w:lineRule="auto"/>
        <w:ind w:left="142" w:hanging="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53283">
        <w:rPr>
          <w:rFonts w:ascii="Arial" w:hAnsi="Arial" w:cs="Arial"/>
          <w:sz w:val="24"/>
          <w:szCs w:val="24"/>
        </w:rPr>
        <w:t>I</w:t>
      </w:r>
      <w:r w:rsidR="00153283" w:rsidRPr="00DB6999">
        <w:rPr>
          <w:rFonts w:ascii="Arial" w:hAnsi="Arial" w:cs="Arial"/>
          <w:sz w:val="24"/>
          <w:szCs w:val="24"/>
        </w:rPr>
        <w:t>n BNPP’s S.6.</w:t>
      </w:r>
      <w:r w:rsidR="00153283">
        <w:rPr>
          <w:rFonts w:ascii="Arial" w:hAnsi="Arial" w:cs="Arial"/>
          <w:sz w:val="24"/>
          <w:szCs w:val="24"/>
        </w:rPr>
        <w:t>14, they refer to a build cost review prepared by RLF which  has led them to assumed build costs for the Appeal Scheme that are  £1,250,140 less than assumed by Rapleys (who used a build cost assessment provided by 3-Sphere).</w:t>
      </w:r>
    </w:p>
    <w:p w:rsidR="00153283" w:rsidRDefault="00153283" w:rsidP="000073E1">
      <w:pPr>
        <w:spacing w:after="0" w:line="480" w:lineRule="auto"/>
        <w:ind w:left="142"/>
        <w:jc w:val="both"/>
        <w:rPr>
          <w:rFonts w:ascii="Arial" w:hAnsi="Arial" w:cs="Arial"/>
          <w:sz w:val="24"/>
          <w:szCs w:val="24"/>
        </w:rPr>
      </w:pPr>
      <w:r>
        <w:rPr>
          <w:rFonts w:ascii="Arial" w:hAnsi="Arial" w:cs="Arial"/>
          <w:sz w:val="24"/>
          <w:szCs w:val="24"/>
        </w:rPr>
        <w:t>The 3-Sphere build cost estimate (as at Q4 2019) equated to £305 per sq.ft. (£3,283 per sq.m.) including a contingency but excluding professional fees.</w:t>
      </w:r>
    </w:p>
    <w:p w:rsidR="00153283" w:rsidRDefault="00153283" w:rsidP="000073E1">
      <w:pPr>
        <w:spacing w:after="0" w:line="480" w:lineRule="auto"/>
        <w:ind w:left="142"/>
        <w:jc w:val="both"/>
        <w:rPr>
          <w:rFonts w:ascii="Arial" w:hAnsi="Arial" w:cs="Arial"/>
          <w:sz w:val="24"/>
          <w:szCs w:val="24"/>
        </w:rPr>
      </w:pPr>
      <w:r>
        <w:rPr>
          <w:rFonts w:ascii="Arial" w:hAnsi="Arial" w:cs="Arial"/>
          <w:sz w:val="24"/>
          <w:szCs w:val="24"/>
        </w:rPr>
        <w:t>RLF (acting for BNPP) consider that the build cost should be £2</w:t>
      </w:r>
      <w:r w:rsidR="00ED4D61">
        <w:rPr>
          <w:rFonts w:ascii="Arial" w:hAnsi="Arial" w:cs="Arial"/>
          <w:sz w:val="24"/>
          <w:szCs w:val="24"/>
        </w:rPr>
        <w:t>71</w:t>
      </w:r>
      <w:r>
        <w:rPr>
          <w:rFonts w:ascii="Arial" w:hAnsi="Arial" w:cs="Arial"/>
          <w:sz w:val="24"/>
          <w:szCs w:val="24"/>
        </w:rPr>
        <w:t xml:space="preserve"> per sq.ft. (£</w:t>
      </w:r>
      <w:r w:rsidR="00ED4D61">
        <w:rPr>
          <w:rFonts w:ascii="Arial" w:hAnsi="Arial" w:cs="Arial"/>
          <w:sz w:val="24"/>
          <w:szCs w:val="24"/>
        </w:rPr>
        <w:t>2,913</w:t>
      </w:r>
      <w:r>
        <w:rPr>
          <w:rFonts w:ascii="Arial" w:hAnsi="Arial" w:cs="Arial"/>
          <w:sz w:val="24"/>
          <w:szCs w:val="24"/>
        </w:rPr>
        <w:t xml:space="preserve"> per sq.m.).</w:t>
      </w:r>
    </w:p>
    <w:p w:rsidR="00153283" w:rsidRDefault="00ED4D61" w:rsidP="000073E1">
      <w:pPr>
        <w:spacing w:after="0" w:line="480" w:lineRule="auto"/>
        <w:ind w:left="142"/>
        <w:jc w:val="both"/>
        <w:rPr>
          <w:rFonts w:ascii="Arial" w:hAnsi="Arial" w:cs="Arial"/>
          <w:sz w:val="24"/>
          <w:szCs w:val="24"/>
        </w:rPr>
      </w:pPr>
      <w:r>
        <w:rPr>
          <w:rFonts w:ascii="Arial" w:hAnsi="Arial" w:cs="Arial"/>
          <w:sz w:val="24"/>
          <w:szCs w:val="24"/>
        </w:rPr>
        <w:t>The Appeal Scheme is effectively a co-living led scheme which I assume is relatively difficult to price in construction cost terms as there have been very few co-living schemes built.</w:t>
      </w:r>
    </w:p>
    <w:p w:rsidR="00ED4D61" w:rsidRDefault="00ED4D61" w:rsidP="000073E1">
      <w:pPr>
        <w:spacing w:after="0" w:line="480" w:lineRule="auto"/>
        <w:ind w:left="142"/>
        <w:jc w:val="both"/>
        <w:rPr>
          <w:rFonts w:ascii="Arial" w:hAnsi="Arial" w:cs="Arial"/>
          <w:sz w:val="24"/>
          <w:szCs w:val="24"/>
        </w:rPr>
      </w:pPr>
      <w:r>
        <w:rPr>
          <w:rFonts w:ascii="Arial" w:hAnsi="Arial" w:cs="Arial"/>
          <w:sz w:val="24"/>
          <w:szCs w:val="24"/>
        </w:rPr>
        <w:t xml:space="preserve">I am aware (see </w:t>
      </w:r>
      <w:r w:rsidRPr="00ED4D61">
        <w:rPr>
          <w:rFonts w:ascii="Arial" w:hAnsi="Arial" w:cs="Arial"/>
          <w:b/>
          <w:sz w:val="24"/>
          <w:szCs w:val="24"/>
        </w:rPr>
        <w:t>Appendix D</w:t>
      </w:r>
      <w:r>
        <w:rPr>
          <w:rFonts w:ascii="Arial" w:hAnsi="Arial" w:cs="Arial"/>
          <w:sz w:val="24"/>
          <w:szCs w:val="24"/>
        </w:rPr>
        <w:t>) that RLF also reviewed costs on a co-living led scheme at Chatfield</w:t>
      </w:r>
      <w:r w:rsidR="00F11F4C">
        <w:rPr>
          <w:rFonts w:ascii="Arial" w:hAnsi="Arial" w:cs="Arial"/>
          <w:sz w:val="24"/>
          <w:szCs w:val="24"/>
        </w:rPr>
        <w:t xml:space="preserve"> Road</w:t>
      </w:r>
      <w:r>
        <w:rPr>
          <w:rFonts w:ascii="Arial" w:hAnsi="Arial" w:cs="Arial"/>
          <w:sz w:val="24"/>
          <w:szCs w:val="24"/>
        </w:rPr>
        <w:t xml:space="preserve"> (L.B. Wandsworth) where that scheme comprised:-</w:t>
      </w:r>
    </w:p>
    <w:p w:rsidR="00ED4D61" w:rsidRDefault="00ED4D61" w:rsidP="00ED4D61">
      <w:pPr>
        <w:ind w:left="142"/>
        <w:jc w:val="center"/>
        <w:rPr>
          <w:rFonts w:ascii="Arial" w:hAnsi="Arial" w:cs="Arial"/>
          <w:sz w:val="24"/>
          <w:szCs w:val="24"/>
        </w:rPr>
      </w:pPr>
      <w:r>
        <w:rPr>
          <w:noProof/>
          <w:lang w:eastAsia="en-GB"/>
        </w:rPr>
        <w:drawing>
          <wp:inline distT="0" distB="0" distL="0" distR="0" wp14:anchorId="5EF68926" wp14:editId="5BBAFBB5">
            <wp:extent cx="4937001" cy="16081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8692" cy="1615173"/>
                    </a:xfrm>
                    <a:prstGeom prst="rect">
                      <a:avLst/>
                    </a:prstGeom>
                  </pic:spPr>
                </pic:pic>
              </a:graphicData>
            </a:graphic>
          </wp:inline>
        </w:drawing>
      </w:r>
    </w:p>
    <w:p w:rsidR="00F11F4C" w:rsidRDefault="00ED4D61" w:rsidP="000073E1">
      <w:pPr>
        <w:spacing w:after="0" w:line="480" w:lineRule="auto"/>
        <w:ind w:left="142"/>
        <w:jc w:val="both"/>
        <w:rPr>
          <w:rFonts w:ascii="Arial" w:hAnsi="Arial" w:cs="Arial"/>
          <w:sz w:val="24"/>
          <w:szCs w:val="24"/>
        </w:rPr>
      </w:pPr>
      <w:r>
        <w:rPr>
          <w:rFonts w:ascii="Arial" w:hAnsi="Arial" w:cs="Arial"/>
          <w:sz w:val="24"/>
          <w:szCs w:val="24"/>
        </w:rPr>
        <w:t>I would expect the Chatfield</w:t>
      </w:r>
      <w:r w:rsidR="00F11F4C">
        <w:rPr>
          <w:rFonts w:ascii="Arial" w:hAnsi="Arial" w:cs="Arial"/>
          <w:sz w:val="24"/>
          <w:szCs w:val="24"/>
        </w:rPr>
        <w:t xml:space="preserve"> Road scheme</w:t>
      </w:r>
      <w:r>
        <w:rPr>
          <w:rFonts w:ascii="Arial" w:hAnsi="Arial" w:cs="Arial"/>
          <w:sz w:val="24"/>
          <w:szCs w:val="24"/>
        </w:rPr>
        <w:t xml:space="preserve"> to attract </w:t>
      </w:r>
      <w:r w:rsidRPr="00F11F4C">
        <w:rPr>
          <w:rFonts w:ascii="Arial" w:hAnsi="Arial" w:cs="Arial"/>
          <w:sz w:val="24"/>
          <w:szCs w:val="24"/>
          <w:u w:val="single"/>
        </w:rPr>
        <w:t>greater</w:t>
      </w:r>
      <w:r>
        <w:rPr>
          <w:rFonts w:ascii="Arial" w:hAnsi="Arial" w:cs="Arial"/>
          <w:sz w:val="24"/>
          <w:szCs w:val="24"/>
        </w:rPr>
        <w:t xml:space="preserve"> construction cost economies of scale compared to the Appeal Scheme whereas RLF considered a total build cost at Chatfield Street equivalent to £290.42 p.s.f. (3,126 p.s.m.) as at Q4 2019</w:t>
      </w:r>
      <w:r w:rsidR="00F11F4C">
        <w:rPr>
          <w:rFonts w:ascii="Arial" w:hAnsi="Arial" w:cs="Arial"/>
          <w:sz w:val="24"/>
          <w:szCs w:val="24"/>
        </w:rPr>
        <w:t xml:space="preserve"> (i.e. higher than for the Appeal Scheme)</w:t>
      </w:r>
      <w:r>
        <w:rPr>
          <w:rFonts w:ascii="Arial" w:hAnsi="Arial" w:cs="Arial"/>
          <w:sz w:val="24"/>
          <w:szCs w:val="24"/>
        </w:rPr>
        <w:t xml:space="preserve">. </w:t>
      </w:r>
      <w:r w:rsidR="00D20412">
        <w:rPr>
          <w:rFonts w:ascii="Arial" w:hAnsi="Arial" w:cs="Arial"/>
          <w:sz w:val="24"/>
          <w:szCs w:val="24"/>
        </w:rPr>
        <w:t>Also, a</w:t>
      </w:r>
      <w:r>
        <w:rPr>
          <w:rFonts w:ascii="Arial" w:hAnsi="Arial" w:cs="Arial"/>
          <w:sz w:val="24"/>
          <w:szCs w:val="24"/>
        </w:rPr>
        <w:t>lthough I am not a QS, some of the differences between RLF’s build costing for Chatfield Street compared to the Appeal Scheme relate to items that I</w:t>
      </w:r>
      <w:r w:rsidR="004B3DB3">
        <w:rPr>
          <w:rFonts w:ascii="Arial" w:hAnsi="Arial" w:cs="Arial"/>
          <w:sz w:val="24"/>
          <w:szCs w:val="24"/>
        </w:rPr>
        <w:t xml:space="preserve"> would expect to be at least the same</w:t>
      </w:r>
      <w:r>
        <w:rPr>
          <w:rFonts w:ascii="Arial" w:hAnsi="Arial" w:cs="Arial"/>
          <w:sz w:val="24"/>
          <w:szCs w:val="24"/>
        </w:rPr>
        <w:t xml:space="preserve"> such as rates assumed for preliminaries and overheads</w:t>
      </w:r>
      <w:r w:rsidR="00F11F4C">
        <w:rPr>
          <w:rFonts w:ascii="Arial" w:hAnsi="Arial" w:cs="Arial"/>
          <w:sz w:val="24"/>
          <w:szCs w:val="24"/>
        </w:rPr>
        <w:t xml:space="preserve"> and profit whereas, at Chatfield Street, RLF assumed preliminaries/overheads/profit at 17% versus 19% for the Appeal Scheme. </w:t>
      </w:r>
    </w:p>
    <w:p w:rsidR="004B3DB3" w:rsidRDefault="004B3DB3" w:rsidP="000073E1">
      <w:pPr>
        <w:spacing w:after="0" w:line="480" w:lineRule="auto"/>
        <w:ind w:left="142"/>
        <w:jc w:val="both"/>
        <w:rPr>
          <w:rFonts w:ascii="Arial" w:hAnsi="Arial" w:cs="Arial"/>
          <w:sz w:val="24"/>
          <w:szCs w:val="24"/>
        </w:rPr>
      </w:pPr>
      <w:r>
        <w:rPr>
          <w:rFonts w:ascii="Arial" w:hAnsi="Arial" w:cs="Arial"/>
          <w:sz w:val="24"/>
          <w:szCs w:val="24"/>
        </w:rPr>
        <w:t xml:space="preserve">Generally, I would expect RLF to arrive at a </w:t>
      </w:r>
      <w:r w:rsidR="002E410C" w:rsidRPr="002E410C">
        <w:rPr>
          <w:rFonts w:ascii="Arial" w:hAnsi="Arial" w:cs="Arial"/>
          <w:sz w:val="24"/>
          <w:szCs w:val="24"/>
          <w:u w:val="single"/>
        </w:rPr>
        <w:t>higher</w:t>
      </w:r>
      <w:r>
        <w:rPr>
          <w:rFonts w:ascii="Arial" w:hAnsi="Arial" w:cs="Arial"/>
          <w:sz w:val="24"/>
          <w:szCs w:val="24"/>
        </w:rPr>
        <w:t xml:space="preserve"> build cost </w:t>
      </w:r>
      <w:r w:rsidRPr="002E410C">
        <w:rPr>
          <w:rFonts w:ascii="Arial" w:hAnsi="Arial" w:cs="Arial"/>
          <w:sz w:val="24"/>
          <w:szCs w:val="24"/>
          <w:u w:val="single"/>
        </w:rPr>
        <w:t>rate</w:t>
      </w:r>
      <w:r>
        <w:rPr>
          <w:rFonts w:ascii="Arial" w:hAnsi="Arial" w:cs="Arial"/>
          <w:sz w:val="24"/>
          <w:szCs w:val="24"/>
        </w:rPr>
        <w:t xml:space="preserve"> for </w:t>
      </w:r>
      <w:r w:rsidR="002E410C">
        <w:rPr>
          <w:rFonts w:ascii="Arial" w:hAnsi="Arial" w:cs="Arial"/>
          <w:sz w:val="24"/>
          <w:szCs w:val="24"/>
        </w:rPr>
        <w:t>the Appeal Scheme</w:t>
      </w:r>
      <w:r>
        <w:rPr>
          <w:rFonts w:ascii="Arial" w:hAnsi="Arial" w:cs="Arial"/>
          <w:sz w:val="24"/>
          <w:szCs w:val="24"/>
        </w:rPr>
        <w:t xml:space="preserve"> compared to their cost review for Chatfield Road (i.e. much closer to 3-Sphere’s costing).</w:t>
      </w:r>
    </w:p>
    <w:p w:rsidR="004B3DB3" w:rsidRDefault="004B3DB3" w:rsidP="000073E1">
      <w:pPr>
        <w:spacing w:after="0" w:line="480" w:lineRule="auto"/>
        <w:ind w:left="142"/>
        <w:jc w:val="both"/>
        <w:rPr>
          <w:rFonts w:ascii="Arial" w:hAnsi="Arial" w:cs="Arial"/>
          <w:sz w:val="24"/>
          <w:szCs w:val="24"/>
        </w:rPr>
      </w:pPr>
      <w:r>
        <w:rPr>
          <w:rFonts w:ascii="Arial" w:hAnsi="Arial" w:cs="Arial"/>
          <w:sz w:val="24"/>
          <w:szCs w:val="24"/>
        </w:rPr>
        <w:t>For the purposes of my viability opinion here, I have therefore used the 3-Sphere costing of £14,505,100.</w:t>
      </w:r>
    </w:p>
    <w:p w:rsidR="00046A91" w:rsidRPr="00046A91" w:rsidRDefault="00046A91" w:rsidP="00046A91">
      <w:pPr>
        <w:spacing w:after="0" w:line="480" w:lineRule="auto"/>
        <w:ind w:left="142"/>
        <w:jc w:val="both"/>
        <w:rPr>
          <w:rFonts w:ascii="Arial" w:hAnsi="Arial" w:cs="Arial"/>
          <w:color w:val="0070C0"/>
          <w:sz w:val="24"/>
          <w:szCs w:val="24"/>
        </w:rPr>
      </w:pPr>
      <w:r w:rsidRPr="00046A91">
        <w:rPr>
          <w:rFonts w:ascii="Arial" w:hAnsi="Arial" w:cs="Arial"/>
          <w:color w:val="0070C0"/>
          <w:sz w:val="24"/>
          <w:szCs w:val="24"/>
        </w:rPr>
        <w:t xml:space="preserve">I assume this </w:t>
      </w:r>
      <w:r>
        <w:rPr>
          <w:rFonts w:ascii="Arial" w:hAnsi="Arial" w:cs="Arial"/>
          <w:color w:val="0070C0"/>
          <w:sz w:val="24"/>
          <w:szCs w:val="24"/>
        </w:rPr>
        <w:t>deals with</w:t>
      </w:r>
      <w:r w:rsidRPr="00046A91">
        <w:rPr>
          <w:rFonts w:ascii="Arial" w:hAnsi="Arial" w:cs="Arial"/>
          <w:color w:val="0070C0"/>
          <w:sz w:val="24"/>
          <w:szCs w:val="24"/>
        </w:rPr>
        <w:t xml:space="preserve"> the </w:t>
      </w:r>
      <w:r>
        <w:rPr>
          <w:rFonts w:ascii="Arial" w:hAnsi="Arial" w:cs="Arial"/>
          <w:color w:val="0070C0"/>
          <w:sz w:val="24"/>
          <w:szCs w:val="24"/>
        </w:rPr>
        <w:t>build cost</w:t>
      </w:r>
      <w:r w:rsidRPr="00046A91">
        <w:rPr>
          <w:rFonts w:ascii="Arial" w:hAnsi="Arial" w:cs="Arial"/>
          <w:color w:val="0070C0"/>
          <w:sz w:val="24"/>
          <w:szCs w:val="24"/>
        </w:rPr>
        <w:t xml:space="preserve"> issue referred to in LBTH’s Statement of Case as referred to in Section 3.13 above.</w:t>
      </w:r>
    </w:p>
    <w:p w:rsidR="003733E0" w:rsidRDefault="00153283" w:rsidP="000073E1">
      <w:pPr>
        <w:spacing w:after="0" w:line="480" w:lineRule="auto"/>
        <w:ind w:left="142" w:hanging="709"/>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74CCE" w:rsidRPr="00DB6999">
        <w:rPr>
          <w:rFonts w:ascii="Arial" w:hAnsi="Arial" w:cs="Arial"/>
          <w:sz w:val="24"/>
          <w:szCs w:val="24"/>
        </w:rPr>
        <w:t>In BNPP’s S.6.</w:t>
      </w:r>
      <w:r w:rsidR="00874CCE">
        <w:rPr>
          <w:rFonts w:ascii="Arial" w:hAnsi="Arial" w:cs="Arial"/>
          <w:sz w:val="24"/>
          <w:szCs w:val="24"/>
        </w:rPr>
        <w:t>22, they claim that purchaser’s costs should not be deducted from any valuation of the Appeal Scheme.</w:t>
      </w:r>
    </w:p>
    <w:p w:rsidR="003733E0" w:rsidRPr="00874CCE" w:rsidRDefault="00874CCE" w:rsidP="000073E1">
      <w:pPr>
        <w:spacing w:after="0" w:line="480" w:lineRule="auto"/>
        <w:ind w:left="142"/>
        <w:jc w:val="both"/>
        <w:rPr>
          <w:rFonts w:ascii="Arial" w:hAnsi="Arial" w:cs="Arial"/>
          <w:sz w:val="24"/>
          <w:szCs w:val="24"/>
        </w:rPr>
      </w:pPr>
      <w:r w:rsidRPr="00874CCE">
        <w:rPr>
          <w:rFonts w:ascii="Arial" w:hAnsi="Arial" w:cs="Arial"/>
          <w:sz w:val="24"/>
          <w:szCs w:val="24"/>
        </w:rPr>
        <w:t>However, v</w:t>
      </w:r>
      <w:r w:rsidR="003733E0" w:rsidRPr="00874CCE">
        <w:rPr>
          <w:rFonts w:ascii="Arial" w:hAnsi="Arial" w:cs="Arial"/>
          <w:sz w:val="24"/>
          <w:szCs w:val="24"/>
        </w:rPr>
        <w:t>iability in planning is meant to reflect viability from a hypothetical developer’s perspective because planning consents run with the land.</w:t>
      </w:r>
    </w:p>
    <w:p w:rsidR="003733E0" w:rsidRPr="00874CCE" w:rsidRDefault="003733E0" w:rsidP="000073E1">
      <w:pPr>
        <w:spacing w:after="0" w:line="480" w:lineRule="auto"/>
        <w:ind w:left="142"/>
        <w:jc w:val="both"/>
        <w:rPr>
          <w:rFonts w:ascii="Arial" w:hAnsi="Arial" w:cs="Arial"/>
          <w:sz w:val="24"/>
          <w:szCs w:val="24"/>
        </w:rPr>
      </w:pPr>
      <w:r w:rsidRPr="00874CCE">
        <w:rPr>
          <w:rFonts w:ascii="Arial" w:hAnsi="Arial" w:cs="Arial"/>
          <w:sz w:val="24"/>
          <w:szCs w:val="24"/>
        </w:rPr>
        <w:t>Despite this, BNPP seek to claim that purchaser cost deductions from a</w:t>
      </w:r>
      <w:r w:rsidR="00874CCE">
        <w:rPr>
          <w:rFonts w:ascii="Arial" w:hAnsi="Arial" w:cs="Arial"/>
          <w:sz w:val="24"/>
          <w:szCs w:val="24"/>
        </w:rPr>
        <w:t xml:space="preserve">ny investment valuation of the Appeal Scheme </w:t>
      </w:r>
      <w:r w:rsidRPr="00874CCE">
        <w:rPr>
          <w:rFonts w:ascii="Arial" w:hAnsi="Arial" w:cs="Arial"/>
          <w:sz w:val="24"/>
          <w:szCs w:val="24"/>
        </w:rPr>
        <w:t xml:space="preserve">would not actually be borne by the specific applicant here if they held onto the proposed scheme as an operational entity/investment. Whilst irrelevant, this is true. However, what BNPP </w:t>
      </w:r>
      <w:r w:rsidRPr="00812566">
        <w:rPr>
          <w:rFonts w:ascii="Arial" w:hAnsi="Arial" w:cs="Arial"/>
          <w:sz w:val="24"/>
          <w:szCs w:val="24"/>
        </w:rPr>
        <w:t xml:space="preserve">fail </w:t>
      </w:r>
      <w:r w:rsidRPr="00874CCE">
        <w:rPr>
          <w:rFonts w:ascii="Arial" w:hAnsi="Arial" w:cs="Arial"/>
          <w:sz w:val="24"/>
          <w:szCs w:val="24"/>
        </w:rPr>
        <w:t>to point out is that if one does not account for a sale of the proposed scheme at or soon after practical completion in a</w:t>
      </w:r>
      <w:r w:rsidR="00874CCE">
        <w:rPr>
          <w:rFonts w:ascii="Arial" w:hAnsi="Arial" w:cs="Arial"/>
          <w:sz w:val="24"/>
          <w:szCs w:val="24"/>
        </w:rPr>
        <w:t xml:space="preserve"> residual </w:t>
      </w:r>
      <w:r w:rsidRPr="00874CCE">
        <w:rPr>
          <w:rFonts w:ascii="Arial" w:hAnsi="Arial" w:cs="Arial"/>
          <w:sz w:val="24"/>
          <w:szCs w:val="24"/>
        </w:rPr>
        <w:t>appraisal and/or in reality, development finance costs p.a. (which would far outstrip net operational income p.a.) would continue to compound on rolled up development debt for many years until such time that ‘payback’ is achieved. This would lead to a substantially increased finance cost which would outstrip the investment sale purchase costs we have accounted for.</w:t>
      </w:r>
    </w:p>
    <w:p w:rsidR="003733E0" w:rsidRDefault="00874CCE" w:rsidP="000073E1">
      <w:pPr>
        <w:spacing w:after="0" w:line="480" w:lineRule="auto"/>
        <w:ind w:left="142"/>
        <w:jc w:val="both"/>
        <w:rPr>
          <w:rFonts w:ascii="Arial" w:hAnsi="Arial" w:cs="Arial"/>
          <w:sz w:val="24"/>
          <w:szCs w:val="24"/>
        </w:rPr>
      </w:pPr>
      <w:r w:rsidRPr="00874CCE">
        <w:rPr>
          <w:rFonts w:ascii="Arial" w:hAnsi="Arial" w:cs="Arial"/>
          <w:sz w:val="24"/>
          <w:szCs w:val="24"/>
        </w:rPr>
        <w:t>I</w:t>
      </w:r>
      <w:r w:rsidR="003733E0" w:rsidRPr="00874CCE">
        <w:rPr>
          <w:rFonts w:ascii="Arial" w:hAnsi="Arial" w:cs="Arial"/>
          <w:sz w:val="24"/>
          <w:szCs w:val="24"/>
        </w:rPr>
        <w:t xml:space="preserve"> consider this BNPP point to be ‘misleading’ and </w:t>
      </w:r>
      <w:r w:rsidRPr="00874CCE">
        <w:rPr>
          <w:rFonts w:ascii="Arial" w:hAnsi="Arial" w:cs="Arial"/>
          <w:sz w:val="24"/>
          <w:szCs w:val="24"/>
        </w:rPr>
        <w:t>irrelevant.</w:t>
      </w:r>
    </w:p>
    <w:p w:rsidR="00046A91" w:rsidRPr="00046A91" w:rsidRDefault="00ED6F0A" w:rsidP="00046A91">
      <w:pPr>
        <w:spacing w:after="0" w:line="480" w:lineRule="auto"/>
        <w:ind w:left="142" w:hanging="709"/>
        <w:jc w:val="both"/>
        <w:rPr>
          <w:rFonts w:ascii="Arial" w:hAnsi="Arial" w:cs="Arial"/>
          <w:color w:val="0070C0"/>
          <w:sz w:val="24"/>
          <w:szCs w:val="24"/>
        </w:rPr>
      </w:pPr>
      <w:r>
        <w:rPr>
          <w:rFonts w:ascii="Arial" w:hAnsi="Arial" w:cs="Arial"/>
          <w:sz w:val="24"/>
          <w:szCs w:val="24"/>
        </w:rPr>
        <w:t>4.10</w:t>
      </w:r>
      <w:r>
        <w:rPr>
          <w:rFonts w:ascii="Arial" w:hAnsi="Arial" w:cs="Arial"/>
          <w:sz w:val="24"/>
          <w:szCs w:val="24"/>
        </w:rPr>
        <w:tab/>
      </w:r>
      <w:r w:rsidR="00264741">
        <w:rPr>
          <w:rFonts w:ascii="Arial" w:hAnsi="Arial" w:cs="Arial"/>
          <w:sz w:val="24"/>
          <w:szCs w:val="24"/>
        </w:rPr>
        <w:t>In BNPP’s S.6.21, they agree with my assumed BLV of £5.89m.</w:t>
      </w:r>
      <w:r w:rsidR="00046A91" w:rsidRPr="00046A91">
        <w:rPr>
          <w:rFonts w:ascii="Arial" w:hAnsi="Arial" w:cs="Arial"/>
          <w:color w:val="0070C0"/>
          <w:sz w:val="24"/>
          <w:szCs w:val="24"/>
        </w:rPr>
        <w:t xml:space="preserve"> I assume this </w:t>
      </w:r>
      <w:r w:rsidR="00046A91">
        <w:rPr>
          <w:rFonts w:ascii="Arial" w:hAnsi="Arial" w:cs="Arial"/>
          <w:color w:val="0070C0"/>
          <w:sz w:val="24"/>
          <w:szCs w:val="24"/>
        </w:rPr>
        <w:t>deals with</w:t>
      </w:r>
      <w:r w:rsidR="00046A91" w:rsidRPr="00046A91">
        <w:rPr>
          <w:rFonts w:ascii="Arial" w:hAnsi="Arial" w:cs="Arial"/>
          <w:color w:val="0070C0"/>
          <w:sz w:val="24"/>
          <w:szCs w:val="24"/>
        </w:rPr>
        <w:t xml:space="preserve"> the </w:t>
      </w:r>
      <w:r w:rsidR="00046A91">
        <w:rPr>
          <w:rFonts w:ascii="Arial" w:hAnsi="Arial" w:cs="Arial"/>
          <w:color w:val="0070C0"/>
          <w:sz w:val="24"/>
          <w:szCs w:val="24"/>
        </w:rPr>
        <w:t>BLV</w:t>
      </w:r>
      <w:r w:rsidR="00046A91" w:rsidRPr="00046A91">
        <w:rPr>
          <w:rFonts w:ascii="Arial" w:hAnsi="Arial" w:cs="Arial"/>
          <w:color w:val="0070C0"/>
          <w:sz w:val="24"/>
          <w:szCs w:val="24"/>
        </w:rPr>
        <w:t xml:space="preserve"> issue referred to in LBTH’s Statement of Case as referred to in Section 3.13 above.</w:t>
      </w:r>
    </w:p>
    <w:p w:rsidR="004B3DB3" w:rsidRDefault="004B3DB3" w:rsidP="000073E1">
      <w:pPr>
        <w:spacing w:after="0" w:line="480" w:lineRule="auto"/>
        <w:ind w:left="142" w:hanging="709"/>
        <w:jc w:val="both"/>
        <w:rPr>
          <w:rFonts w:ascii="Arial" w:hAnsi="Arial" w:cs="Arial"/>
          <w:sz w:val="24"/>
          <w:szCs w:val="24"/>
        </w:rPr>
      </w:pPr>
    </w:p>
    <w:p w:rsidR="00F55B57" w:rsidRDefault="00F55B57" w:rsidP="00BA1602">
      <w:pPr>
        <w:spacing w:after="0" w:line="240" w:lineRule="auto"/>
        <w:ind w:left="142" w:hanging="709"/>
        <w:jc w:val="both"/>
        <w:rPr>
          <w:rFonts w:ascii="Arial" w:hAnsi="Arial" w:cs="Arial"/>
          <w:b/>
          <w:sz w:val="24"/>
          <w:szCs w:val="24"/>
        </w:rPr>
      </w:pPr>
      <w:r>
        <w:rPr>
          <w:rFonts w:ascii="Arial" w:hAnsi="Arial" w:cs="Arial"/>
          <w:b/>
          <w:sz w:val="24"/>
          <w:szCs w:val="24"/>
        </w:rPr>
        <w:t>5.0</w:t>
      </w:r>
      <w:r>
        <w:rPr>
          <w:rFonts w:ascii="Arial" w:hAnsi="Arial" w:cs="Arial"/>
          <w:b/>
          <w:sz w:val="24"/>
          <w:szCs w:val="24"/>
        </w:rPr>
        <w:tab/>
        <w:t>Comparison of Opinion</w:t>
      </w:r>
      <w:r w:rsidR="0082394F">
        <w:rPr>
          <w:rFonts w:ascii="Arial" w:hAnsi="Arial" w:cs="Arial"/>
          <w:b/>
          <w:sz w:val="24"/>
          <w:szCs w:val="24"/>
        </w:rPr>
        <w:t>s</w:t>
      </w:r>
      <w:r>
        <w:rPr>
          <w:rFonts w:ascii="Arial" w:hAnsi="Arial" w:cs="Arial"/>
          <w:b/>
          <w:sz w:val="24"/>
          <w:szCs w:val="24"/>
        </w:rPr>
        <w:t xml:space="preserve"> and Key Issues:-</w:t>
      </w:r>
    </w:p>
    <w:p w:rsidR="00BA1602" w:rsidRDefault="00BA1602" w:rsidP="00BA1602">
      <w:pPr>
        <w:spacing w:after="0" w:line="240" w:lineRule="auto"/>
        <w:ind w:left="142" w:hanging="709"/>
        <w:jc w:val="both"/>
        <w:rPr>
          <w:rFonts w:ascii="Arial" w:hAnsi="Arial" w:cs="Arial"/>
          <w:b/>
          <w:sz w:val="24"/>
          <w:szCs w:val="24"/>
        </w:rPr>
      </w:pPr>
    </w:p>
    <w:p w:rsidR="00406635" w:rsidRDefault="00F55B57" w:rsidP="00BA1602">
      <w:pPr>
        <w:spacing w:after="0" w:line="240" w:lineRule="auto"/>
        <w:ind w:left="142" w:hanging="709"/>
        <w:jc w:val="both"/>
        <w:rPr>
          <w:rFonts w:ascii="Arial" w:hAnsi="Arial" w:cs="Arial"/>
          <w:sz w:val="24"/>
          <w:szCs w:val="24"/>
        </w:rPr>
      </w:pPr>
      <w:r w:rsidRPr="00F55B57">
        <w:rPr>
          <w:rFonts w:ascii="Arial" w:hAnsi="Arial" w:cs="Arial"/>
          <w:sz w:val="24"/>
          <w:szCs w:val="24"/>
        </w:rPr>
        <w:t>5</w:t>
      </w:r>
      <w:r w:rsidR="006478DC">
        <w:rPr>
          <w:rFonts w:ascii="Arial" w:hAnsi="Arial" w:cs="Arial"/>
          <w:sz w:val="24"/>
          <w:szCs w:val="24"/>
        </w:rPr>
        <w:t>.1</w:t>
      </w:r>
      <w:r w:rsidR="006478DC">
        <w:rPr>
          <w:rFonts w:ascii="Arial" w:hAnsi="Arial" w:cs="Arial"/>
          <w:sz w:val="24"/>
          <w:szCs w:val="24"/>
        </w:rPr>
        <w:tab/>
      </w:r>
      <w:r w:rsidR="00766BCB">
        <w:rPr>
          <w:rFonts w:ascii="Arial" w:hAnsi="Arial" w:cs="Arial"/>
          <w:sz w:val="24"/>
          <w:szCs w:val="24"/>
        </w:rPr>
        <w:t xml:space="preserve">The </w:t>
      </w:r>
      <w:r w:rsidR="00406635">
        <w:rPr>
          <w:rFonts w:ascii="Arial" w:hAnsi="Arial" w:cs="Arial"/>
          <w:sz w:val="24"/>
          <w:szCs w:val="24"/>
        </w:rPr>
        <w:t>respe</w:t>
      </w:r>
      <w:r w:rsidR="00BA1602">
        <w:rPr>
          <w:rFonts w:ascii="Arial" w:hAnsi="Arial" w:cs="Arial"/>
          <w:sz w:val="24"/>
          <w:szCs w:val="24"/>
        </w:rPr>
        <w:t>ctive viability opinions as at 21/9</w:t>
      </w:r>
      <w:r w:rsidR="00406635">
        <w:rPr>
          <w:rFonts w:ascii="Arial" w:hAnsi="Arial" w:cs="Arial"/>
          <w:sz w:val="24"/>
          <w:szCs w:val="24"/>
        </w:rPr>
        <w:t xml:space="preserve">/2020 are </w:t>
      </w:r>
      <w:r w:rsidR="00BA1602">
        <w:rPr>
          <w:rFonts w:ascii="Arial" w:hAnsi="Arial" w:cs="Arial"/>
          <w:sz w:val="24"/>
          <w:szCs w:val="24"/>
        </w:rPr>
        <w:t xml:space="preserve">therefore </w:t>
      </w:r>
      <w:r w:rsidR="00406635">
        <w:rPr>
          <w:rFonts w:ascii="Arial" w:hAnsi="Arial" w:cs="Arial"/>
          <w:sz w:val="24"/>
          <w:szCs w:val="24"/>
        </w:rPr>
        <w:t>as follows:-</w:t>
      </w:r>
    </w:p>
    <w:p w:rsidR="00BA1602" w:rsidRDefault="00BA1602" w:rsidP="00BA1602">
      <w:pPr>
        <w:spacing w:after="0" w:line="240" w:lineRule="auto"/>
        <w:ind w:left="142" w:hanging="709"/>
        <w:jc w:val="both"/>
        <w:rPr>
          <w:rFonts w:ascii="Arial" w:hAnsi="Arial" w:cs="Arial"/>
          <w:sz w:val="24"/>
          <w:szCs w:val="24"/>
        </w:rPr>
      </w:pPr>
    </w:p>
    <w:tbl>
      <w:tblPr>
        <w:tblStyle w:val="TableGrid"/>
        <w:tblW w:w="10916" w:type="dxa"/>
        <w:tblInd w:w="-856" w:type="dxa"/>
        <w:tblLayout w:type="fixed"/>
        <w:tblLook w:val="04A0" w:firstRow="1" w:lastRow="0" w:firstColumn="1" w:lastColumn="0" w:noHBand="0" w:noVBand="1"/>
      </w:tblPr>
      <w:tblGrid>
        <w:gridCol w:w="1418"/>
        <w:gridCol w:w="1276"/>
        <w:gridCol w:w="1390"/>
        <w:gridCol w:w="1701"/>
        <w:gridCol w:w="1445"/>
        <w:gridCol w:w="3686"/>
      </w:tblGrid>
      <w:tr w:rsidR="00403CAE" w:rsidTr="0057157B">
        <w:tc>
          <w:tcPr>
            <w:tcW w:w="1418" w:type="dxa"/>
            <w:shd w:val="clear" w:color="auto" w:fill="FFFF00"/>
          </w:tcPr>
          <w:p w:rsidR="00403CAE" w:rsidRPr="00A05139" w:rsidRDefault="00403CAE" w:rsidP="00A05139">
            <w:pPr>
              <w:rPr>
                <w:rFonts w:ascii="Arial" w:hAnsi="Arial" w:cs="Arial"/>
                <w:b/>
                <w:sz w:val="20"/>
                <w:szCs w:val="20"/>
              </w:rPr>
            </w:pPr>
            <w:r w:rsidRPr="00A05139">
              <w:rPr>
                <w:rFonts w:ascii="Arial" w:hAnsi="Arial" w:cs="Arial"/>
                <w:b/>
                <w:sz w:val="20"/>
                <w:szCs w:val="20"/>
              </w:rPr>
              <w:t>Appraisal Assumption</w:t>
            </w:r>
          </w:p>
        </w:tc>
        <w:tc>
          <w:tcPr>
            <w:tcW w:w="1276" w:type="dxa"/>
            <w:shd w:val="clear" w:color="auto" w:fill="FFFF00"/>
          </w:tcPr>
          <w:p w:rsidR="0008786B" w:rsidRDefault="00403CAE" w:rsidP="00A05139">
            <w:pPr>
              <w:rPr>
                <w:rFonts w:ascii="Arial" w:hAnsi="Arial" w:cs="Arial"/>
                <w:b/>
                <w:sz w:val="20"/>
                <w:szCs w:val="20"/>
              </w:rPr>
            </w:pPr>
            <w:r w:rsidRPr="00A05139">
              <w:rPr>
                <w:rFonts w:ascii="Arial" w:hAnsi="Arial" w:cs="Arial"/>
                <w:b/>
                <w:sz w:val="20"/>
                <w:szCs w:val="20"/>
              </w:rPr>
              <w:t>Rapleys/</w:t>
            </w:r>
          </w:p>
          <w:p w:rsidR="00403CAE" w:rsidRPr="00A05139" w:rsidRDefault="00403CAE" w:rsidP="00A05139">
            <w:pPr>
              <w:rPr>
                <w:rFonts w:ascii="Arial" w:hAnsi="Arial" w:cs="Arial"/>
                <w:b/>
                <w:sz w:val="20"/>
                <w:szCs w:val="20"/>
              </w:rPr>
            </w:pPr>
            <w:r w:rsidRPr="00A05139">
              <w:rPr>
                <w:rFonts w:ascii="Arial" w:hAnsi="Arial" w:cs="Arial"/>
                <w:b/>
                <w:sz w:val="20"/>
                <w:szCs w:val="20"/>
              </w:rPr>
              <w:t xml:space="preserve">Savills/  </w:t>
            </w:r>
          </w:p>
          <w:p w:rsidR="00403CAE" w:rsidRPr="00A05139" w:rsidRDefault="00403CAE" w:rsidP="00A05139">
            <w:pPr>
              <w:rPr>
                <w:rFonts w:ascii="Arial" w:hAnsi="Arial" w:cs="Arial"/>
                <w:b/>
                <w:sz w:val="20"/>
                <w:szCs w:val="20"/>
              </w:rPr>
            </w:pPr>
            <w:r w:rsidRPr="00A05139">
              <w:rPr>
                <w:rFonts w:ascii="Arial" w:hAnsi="Arial" w:cs="Arial"/>
                <w:b/>
                <w:sz w:val="20"/>
                <w:szCs w:val="20"/>
              </w:rPr>
              <w:t>3-Sphere as at 3/12/2019</w:t>
            </w:r>
          </w:p>
        </w:tc>
        <w:tc>
          <w:tcPr>
            <w:tcW w:w="1390" w:type="dxa"/>
            <w:shd w:val="clear" w:color="auto" w:fill="FFFF00"/>
          </w:tcPr>
          <w:p w:rsidR="00403CAE" w:rsidRPr="00A05139" w:rsidRDefault="00403CAE" w:rsidP="00A05139">
            <w:pPr>
              <w:rPr>
                <w:rFonts w:ascii="Arial" w:hAnsi="Arial" w:cs="Arial"/>
                <w:b/>
                <w:sz w:val="20"/>
                <w:szCs w:val="20"/>
              </w:rPr>
            </w:pPr>
            <w:r w:rsidRPr="00A05139">
              <w:rPr>
                <w:rFonts w:ascii="Arial" w:hAnsi="Arial" w:cs="Arial"/>
                <w:b/>
                <w:sz w:val="20"/>
                <w:szCs w:val="20"/>
              </w:rPr>
              <w:t>London Borough Tower Hamlets Viability Team – circa February/M</w:t>
            </w:r>
            <w:r w:rsidR="00D26DCA" w:rsidRPr="00A05139">
              <w:rPr>
                <w:rFonts w:ascii="Arial" w:hAnsi="Arial" w:cs="Arial"/>
                <w:b/>
                <w:sz w:val="20"/>
                <w:szCs w:val="20"/>
              </w:rPr>
              <w:t>a</w:t>
            </w:r>
            <w:r w:rsidRPr="00A05139">
              <w:rPr>
                <w:rFonts w:ascii="Arial" w:hAnsi="Arial" w:cs="Arial"/>
                <w:b/>
                <w:sz w:val="20"/>
                <w:szCs w:val="20"/>
              </w:rPr>
              <w:t>rch 2020</w:t>
            </w:r>
          </w:p>
        </w:tc>
        <w:tc>
          <w:tcPr>
            <w:tcW w:w="1701" w:type="dxa"/>
            <w:shd w:val="clear" w:color="auto" w:fill="FFFF00"/>
          </w:tcPr>
          <w:p w:rsidR="00403CAE" w:rsidRPr="00A05139" w:rsidRDefault="00403CAE" w:rsidP="00A05139">
            <w:pPr>
              <w:rPr>
                <w:rFonts w:ascii="Arial" w:hAnsi="Arial" w:cs="Arial"/>
                <w:b/>
                <w:sz w:val="20"/>
                <w:szCs w:val="20"/>
              </w:rPr>
            </w:pPr>
            <w:r w:rsidRPr="00A05139">
              <w:rPr>
                <w:rFonts w:ascii="Arial" w:hAnsi="Arial" w:cs="Arial"/>
                <w:b/>
                <w:sz w:val="20"/>
                <w:szCs w:val="20"/>
              </w:rPr>
              <w:t>BNPP/RLF – subsequent opinion as at 27/7/2020</w:t>
            </w:r>
          </w:p>
        </w:tc>
        <w:tc>
          <w:tcPr>
            <w:tcW w:w="1445" w:type="dxa"/>
            <w:shd w:val="clear" w:color="auto" w:fill="FFFF00"/>
          </w:tcPr>
          <w:p w:rsidR="00403CAE" w:rsidRPr="00A05139" w:rsidRDefault="00403CAE" w:rsidP="00A05139">
            <w:pPr>
              <w:rPr>
                <w:rFonts w:ascii="Arial" w:hAnsi="Arial" w:cs="Arial"/>
                <w:b/>
                <w:sz w:val="20"/>
                <w:szCs w:val="20"/>
              </w:rPr>
            </w:pPr>
            <w:r w:rsidRPr="00A05139">
              <w:rPr>
                <w:rFonts w:ascii="Arial" w:hAnsi="Arial" w:cs="Arial"/>
                <w:b/>
                <w:sz w:val="20"/>
                <w:szCs w:val="20"/>
              </w:rPr>
              <w:t>James Brown as at 21/9/2020</w:t>
            </w:r>
          </w:p>
        </w:tc>
        <w:tc>
          <w:tcPr>
            <w:tcW w:w="3686" w:type="dxa"/>
            <w:shd w:val="clear" w:color="auto" w:fill="FFFF00"/>
          </w:tcPr>
          <w:p w:rsidR="00403CAE" w:rsidRPr="00A05139" w:rsidRDefault="00403CAE" w:rsidP="00A05139">
            <w:pPr>
              <w:rPr>
                <w:rFonts w:ascii="Arial" w:hAnsi="Arial" w:cs="Arial"/>
                <w:b/>
                <w:sz w:val="20"/>
                <w:szCs w:val="20"/>
              </w:rPr>
            </w:pPr>
            <w:r w:rsidRPr="00A05139">
              <w:rPr>
                <w:rFonts w:ascii="Arial" w:hAnsi="Arial" w:cs="Arial"/>
                <w:b/>
                <w:sz w:val="20"/>
                <w:szCs w:val="20"/>
              </w:rPr>
              <w:t>Comment</w:t>
            </w:r>
          </w:p>
        </w:tc>
      </w:tr>
      <w:tr w:rsidR="00403CAE" w:rsidTr="0057157B">
        <w:tc>
          <w:tcPr>
            <w:tcW w:w="1418" w:type="dxa"/>
          </w:tcPr>
          <w:p w:rsidR="00403CAE" w:rsidRDefault="00403CAE" w:rsidP="00A05139">
            <w:pPr>
              <w:rPr>
                <w:rFonts w:ascii="Arial" w:hAnsi="Arial" w:cs="Arial"/>
                <w:b/>
                <w:sz w:val="20"/>
                <w:szCs w:val="20"/>
                <w:u w:val="single"/>
              </w:rPr>
            </w:pPr>
            <w:r w:rsidRPr="00A05139">
              <w:rPr>
                <w:rFonts w:ascii="Arial" w:hAnsi="Arial" w:cs="Arial"/>
                <w:b/>
                <w:sz w:val="20"/>
                <w:szCs w:val="20"/>
                <w:u w:val="single"/>
              </w:rPr>
              <w:t>Existing Hostel:-</w:t>
            </w:r>
          </w:p>
          <w:p w:rsidR="00403CAE" w:rsidRPr="00A05139" w:rsidRDefault="00403CAE" w:rsidP="00A05139">
            <w:pPr>
              <w:rPr>
                <w:rFonts w:ascii="Arial" w:hAnsi="Arial" w:cs="Arial"/>
                <w:b/>
                <w:sz w:val="20"/>
                <w:szCs w:val="20"/>
                <w:u w:val="single"/>
              </w:rPr>
            </w:pPr>
          </w:p>
        </w:tc>
        <w:tc>
          <w:tcPr>
            <w:tcW w:w="1276" w:type="dxa"/>
          </w:tcPr>
          <w:p w:rsidR="00403CAE" w:rsidRPr="00A05139" w:rsidRDefault="00403CAE" w:rsidP="00A05139">
            <w:pPr>
              <w:rPr>
                <w:rFonts w:ascii="Arial" w:hAnsi="Arial" w:cs="Arial"/>
                <w:sz w:val="20"/>
                <w:szCs w:val="20"/>
              </w:rPr>
            </w:pPr>
          </w:p>
        </w:tc>
        <w:tc>
          <w:tcPr>
            <w:tcW w:w="1390" w:type="dxa"/>
          </w:tcPr>
          <w:p w:rsidR="00403CAE" w:rsidRPr="00A05139" w:rsidRDefault="00403CAE" w:rsidP="00A05139">
            <w:pPr>
              <w:rPr>
                <w:rFonts w:ascii="Arial" w:hAnsi="Arial" w:cs="Arial"/>
                <w:sz w:val="20"/>
                <w:szCs w:val="20"/>
              </w:rPr>
            </w:pPr>
          </w:p>
        </w:tc>
        <w:tc>
          <w:tcPr>
            <w:tcW w:w="1701" w:type="dxa"/>
          </w:tcPr>
          <w:p w:rsidR="00403CAE" w:rsidRPr="00A05139" w:rsidRDefault="00403CAE" w:rsidP="00A05139">
            <w:pPr>
              <w:rPr>
                <w:rFonts w:ascii="Arial" w:hAnsi="Arial" w:cs="Arial"/>
                <w:sz w:val="20"/>
                <w:szCs w:val="20"/>
              </w:rPr>
            </w:pPr>
          </w:p>
        </w:tc>
        <w:tc>
          <w:tcPr>
            <w:tcW w:w="1445" w:type="dxa"/>
          </w:tcPr>
          <w:p w:rsidR="00403CAE" w:rsidRPr="00A05139" w:rsidRDefault="00403CAE" w:rsidP="00A05139">
            <w:pPr>
              <w:rPr>
                <w:rFonts w:ascii="Arial" w:hAnsi="Arial" w:cs="Arial"/>
                <w:sz w:val="20"/>
                <w:szCs w:val="20"/>
              </w:rPr>
            </w:pPr>
          </w:p>
        </w:tc>
        <w:tc>
          <w:tcPr>
            <w:tcW w:w="3686" w:type="dxa"/>
          </w:tcPr>
          <w:p w:rsidR="00403CAE" w:rsidRPr="00A05139" w:rsidRDefault="00403CAE" w:rsidP="00A05139">
            <w:pPr>
              <w:rPr>
                <w:rFonts w:ascii="Arial" w:hAnsi="Arial" w:cs="Arial"/>
                <w:sz w:val="20"/>
                <w:szCs w:val="20"/>
              </w:rPr>
            </w:pPr>
          </w:p>
        </w:tc>
      </w:tr>
      <w:tr w:rsidR="00403CAE" w:rsidTr="0057157B">
        <w:tc>
          <w:tcPr>
            <w:tcW w:w="1418" w:type="dxa"/>
          </w:tcPr>
          <w:p w:rsidR="00403CAE" w:rsidRPr="00A05139" w:rsidRDefault="00403CAE" w:rsidP="00403CAE">
            <w:pPr>
              <w:rPr>
                <w:rFonts w:ascii="Arial" w:hAnsi="Arial" w:cs="Arial"/>
                <w:sz w:val="20"/>
                <w:szCs w:val="20"/>
              </w:rPr>
            </w:pPr>
            <w:r w:rsidRPr="00A05139">
              <w:rPr>
                <w:rFonts w:ascii="Arial" w:hAnsi="Arial" w:cs="Arial"/>
                <w:sz w:val="20"/>
                <w:szCs w:val="20"/>
              </w:rPr>
              <w:t>BLV</w:t>
            </w:r>
          </w:p>
        </w:tc>
        <w:tc>
          <w:tcPr>
            <w:tcW w:w="1276" w:type="dxa"/>
          </w:tcPr>
          <w:p w:rsidR="00403CAE" w:rsidRPr="00A05139" w:rsidRDefault="00403CAE" w:rsidP="00403CAE">
            <w:pPr>
              <w:rPr>
                <w:rFonts w:ascii="Arial" w:hAnsi="Arial" w:cs="Arial"/>
                <w:sz w:val="20"/>
                <w:szCs w:val="20"/>
              </w:rPr>
            </w:pPr>
            <w:r>
              <w:rPr>
                <w:rFonts w:ascii="Arial" w:hAnsi="Arial" w:cs="Arial"/>
                <w:sz w:val="20"/>
                <w:szCs w:val="20"/>
              </w:rPr>
              <w:t>£8,000,000</w:t>
            </w:r>
          </w:p>
        </w:tc>
        <w:tc>
          <w:tcPr>
            <w:tcW w:w="1390" w:type="dxa"/>
          </w:tcPr>
          <w:p w:rsidR="00403CAE" w:rsidRPr="00A05139" w:rsidRDefault="00403CAE" w:rsidP="00403CAE">
            <w:pPr>
              <w:rPr>
                <w:rFonts w:ascii="Arial" w:hAnsi="Arial" w:cs="Arial"/>
                <w:sz w:val="20"/>
                <w:szCs w:val="20"/>
              </w:rPr>
            </w:pPr>
            <w:r>
              <w:rPr>
                <w:rFonts w:ascii="Arial" w:hAnsi="Arial" w:cs="Arial"/>
                <w:sz w:val="20"/>
                <w:szCs w:val="20"/>
              </w:rPr>
              <w:t>Implied as being less than £8m</w:t>
            </w:r>
          </w:p>
        </w:tc>
        <w:tc>
          <w:tcPr>
            <w:tcW w:w="1701" w:type="dxa"/>
          </w:tcPr>
          <w:p w:rsidR="00403CAE" w:rsidRPr="00A05139" w:rsidRDefault="00403CAE" w:rsidP="00403CAE">
            <w:pPr>
              <w:rPr>
                <w:rFonts w:ascii="Arial" w:hAnsi="Arial" w:cs="Arial"/>
                <w:sz w:val="20"/>
                <w:szCs w:val="20"/>
              </w:rPr>
            </w:pPr>
            <w:r>
              <w:rPr>
                <w:rFonts w:ascii="Arial" w:hAnsi="Arial" w:cs="Arial"/>
                <w:sz w:val="20"/>
                <w:szCs w:val="20"/>
              </w:rPr>
              <w:t>£5,890,000</w:t>
            </w:r>
          </w:p>
        </w:tc>
        <w:tc>
          <w:tcPr>
            <w:tcW w:w="1445" w:type="dxa"/>
          </w:tcPr>
          <w:p w:rsidR="00403CAE" w:rsidRPr="00A05139" w:rsidRDefault="00403CAE" w:rsidP="00403CAE">
            <w:pPr>
              <w:rPr>
                <w:rFonts w:ascii="Arial" w:hAnsi="Arial" w:cs="Arial"/>
                <w:sz w:val="20"/>
                <w:szCs w:val="20"/>
              </w:rPr>
            </w:pPr>
            <w:r>
              <w:rPr>
                <w:rFonts w:ascii="Arial" w:hAnsi="Arial" w:cs="Arial"/>
                <w:sz w:val="20"/>
                <w:szCs w:val="20"/>
              </w:rPr>
              <w:t>£5,890,000</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A BLV is agreed between BNPP and I.</w:t>
            </w:r>
          </w:p>
        </w:tc>
      </w:tr>
      <w:tr w:rsidR="00403CAE" w:rsidTr="0057157B">
        <w:tc>
          <w:tcPr>
            <w:tcW w:w="1418" w:type="dxa"/>
          </w:tcPr>
          <w:p w:rsidR="00403CAE" w:rsidRDefault="00403CAE" w:rsidP="00403CAE">
            <w:pPr>
              <w:rPr>
                <w:rFonts w:ascii="Arial" w:hAnsi="Arial" w:cs="Arial"/>
                <w:b/>
                <w:sz w:val="20"/>
                <w:szCs w:val="20"/>
                <w:u w:val="single"/>
              </w:rPr>
            </w:pPr>
            <w:r w:rsidRPr="00A05139">
              <w:rPr>
                <w:rFonts w:ascii="Arial" w:hAnsi="Arial" w:cs="Arial"/>
                <w:b/>
                <w:sz w:val="20"/>
                <w:szCs w:val="20"/>
                <w:u w:val="single"/>
              </w:rPr>
              <w:t>Appeal Scheme:-</w:t>
            </w:r>
          </w:p>
          <w:p w:rsidR="00403CAE" w:rsidRPr="00A05139" w:rsidRDefault="00403CAE" w:rsidP="00403CAE">
            <w:pPr>
              <w:rPr>
                <w:rFonts w:ascii="Arial" w:hAnsi="Arial" w:cs="Arial"/>
                <w:b/>
                <w:sz w:val="20"/>
                <w:szCs w:val="20"/>
                <w:u w:val="single"/>
              </w:rPr>
            </w:pPr>
          </w:p>
        </w:tc>
        <w:tc>
          <w:tcPr>
            <w:tcW w:w="1276" w:type="dxa"/>
          </w:tcPr>
          <w:p w:rsidR="00403CAE" w:rsidRPr="00A05139" w:rsidRDefault="00403CAE" w:rsidP="00403CAE">
            <w:pPr>
              <w:rPr>
                <w:rFonts w:ascii="Arial" w:hAnsi="Arial" w:cs="Arial"/>
                <w:sz w:val="20"/>
                <w:szCs w:val="20"/>
              </w:rPr>
            </w:pPr>
          </w:p>
        </w:tc>
        <w:tc>
          <w:tcPr>
            <w:tcW w:w="1390" w:type="dxa"/>
          </w:tcPr>
          <w:p w:rsidR="00403CAE" w:rsidRPr="00A05139" w:rsidRDefault="00403CAE" w:rsidP="00403CAE">
            <w:pPr>
              <w:rPr>
                <w:rFonts w:ascii="Arial" w:hAnsi="Arial" w:cs="Arial"/>
                <w:sz w:val="20"/>
                <w:szCs w:val="20"/>
              </w:rPr>
            </w:pPr>
          </w:p>
        </w:tc>
        <w:tc>
          <w:tcPr>
            <w:tcW w:w="1701" w:type="dxa"/>
          </w:tcPr>
          <w:p w:rsidR="00403CAE" w:rsidRPr="00A05139" w:rsidRDefault="00403CAE" w:rsidP="00403CAE">
            <w:pPr>
              <w:rPr>
                <w:rFonts w:ascii="Arial" w:hAnsi="Arial" w:cs="Arial"/>
                <w:sz w:val="20"/>
                <w:szCs w:val="20"/>
              </w:rPr>
            </w:pPr>
          </w:p>
        </w:tc>
        <w:tc>
          <w:tcPr>
            <w:tcW w:w="1445" w:type="dxa"/>
          </w:tcPr>
          <w:p w:rsidR="00403CAE" w:rsidRPr="00A05139" w:rsidRDefault="00403CAE" w:rsidP="00403CAE">
            <w:pPr>
              <w:rPr>
                <w:rFonts w:ascii="Arial" w:hAnsi="Arial" w:cs="Arial"/>
                <w:sz w:val="20"/>
                <w:szCs w:val="20"/>
              </w:rPr>
            </w:pPr>
          </w:p>
        </w:tc>
        <w:tc>
          <w:tcPr>
            <w:tcW w:w="3686" w:type="dxa"/>
          </w:tcPr>
          <w:p w:rsidR="00403CAE" w:rsidRPr="00403CAE" w:rsidRDefault="00403CAE" w:rsidP="00403CAE">
            <w:pPr>
              <w:rPr>
                <w:rFonts w:ascii="Arial" w:hAnsi="Arial" w:cs="Arial"/>
                <w:sz w:val="18"/>
                <w:szCs w:val="18"/>
              </w:rPr>
            </w:pPr>
          </w:p>
        </w:tc>
      </w:tr>
      <w:tr w:rsidR="00403CAE" w:rsidTr="0057157B">
        <w:tc>
          <w:tcPr>
            <w:tcW w:w="1418" w:type="dxa"/>
          </w:tcPr>
          <w:p w:rsidR="00403CAE" w:rsidRPr="00A05139" w:rsidRDefault="00873CC2" w:rsidP="00873CC2">
            <w:pPr>
              <w:rPr>
                <w:rFonts w:ascii="Arial" w:hAnsi="Arial" w:cs="Arial"/>
                <w:sz w:val="20"/>
                <w:szCs w:val="20"/>
              </w:rPr>
            </w:pPr>
            <w:r>
              <w:rPr>
                <w:rFonts w:ascii="Arial" w:hAnsi="Arial" w:cs="Arial"/>
                <w:sz w:val="20"/>
                <w:szCs w:val="20"/>
              </w:rPr>
              <w:t>Gross</w:t>
            </w:r>
            <w:r w:rsidR="00403CAE">
              <w:rPr>
                <w:rFonts w:ascii="Arial" w:hAnsi="Arial" w:cs="Arial"/>
                <w:sz w:val="20"/>
                <w:szCs w:val="20"/>
              </w:rPr>
              <w:t xml:space="preserve"> Achievable Income from hostel element</w:t>
            </w:r>
          </w:p>
        </w:tc>
        <w:tc>
          <w:tcPr>
            <w:tcW w:w="1276" w:type="dxa"/>
          </w:tcPr>
          <w:p w:rsidR="00403CAE" w:rsidRPr="00A05139" w:rsidRDefault="00403CAE" w:rsidP="00403CAE">
            <w:pPr>
              <w:rPr>
                <w:rFonts w:ascii="Arial" w:hAnsi="Arial" w:cs="Arial"/>
                <w:sz w:val="20"/>
                <w:szCs w:val="20"/>
              </w:rPr>
            </w:pPr>
            <w:r>
              <w:rPr>
                <w:rFonts w:ascii="Arial" w:hAnsi="Arial" w:cs="Arial"/>
                <w:sz w:val="20"/>
                <w:szCs w:val="20"/>
              </w:rPr>
              <w:t>Circa £340,000</w:t>
            </w:r>
          </w:p>
        </w:tc>
        <w:tc>
          <w:tcPr>
            <w:tcW w:w="1390" w:type="dxa"/>
          </w:tcPr>
          <w:p w:rsidR="00403CAE" w:rsidRPr="00A05139" w:rsidRDefault="00403CAE" w:rsidP="00403CAE">
            <w:pPr>
              <w:rPr>
                <w:rFonts w:ascii="Arial" w:hAnsi="Arial" w:cs="Arial"/>
                <w:sz w:val="20"/>
                <w:szCs w:val="20"/>
              </w:rPr>
            </w:pPr>
            <w:r>
              <w:rPr>
                <w:rFonts w:ascii="Arial" w:hAnsi="Arial" w:cs="Arial"/>
                <w:sz w:val="20"/>
                <w:szCs w:val="20"/>
              </w:rPr>
              <w:t>No comment</w:t>
            </w:r>
          </w:p>
        </w:tc>
        <w:tc>
          <w:tcPr>
            <w:tcW w:w="1701" w:type="dxa"/>
          </w:tcPr>
          <w:p w:rsidR="00403CAE" w:rsidRPr="00A05139" w:rsidRDefault="00403CAE" w:rsidP="00403CAE">
            <w:pPr>
              <w:rPr>
                <w:rFonts w:ascii="Arial" w:hAnsi="Arial" w:cs="Arial"/>
                <w:sz w:val="20"/>
                <w:szCs w:val="20"/>
              </w:rPr>
            </w:pPr>
            <w:r w:rsidRPr="00E514A6">
              <w:rPr>
                <w:rFonts w:ascii="Arial" w:hAnsi="Arial" w:cs="Arial"/>
                <w:color w:val="FF0000"/>
                <w:sz w:val="20"/>
                <w:szCs w:val="20"/>
              </w:rPr>
              <w:t>£784,176</w:t>
            </w:r>
          </w:p>
        </w:tc>
        <w:tc>
          <w:tcPr>
            <w:tcW w:w="1445" w:type="dxa"/>
          </w:tcPr>
          <w:p w:rsidR="00403CAE" w:rsidRPr="00A05139" w:rsidRDefault="00403CAE" w:rsidP="00403CAE">
            <w:pPr>
              <w:rPr>
                <w:rFonts w:ascii="Arial" w:hAnsi="Arial" w:cs="Arial"/>
                <w:sz w:val="20"/>
                <w:szCs w:val="20"/>
              </w:rPr>
            </w:pPr>
            <w:r>
              <w:rPr>
                <w:rFonts w:ascii="Arial" w:hAnsi="Arial" w:cs="Arial"/>
                <w:sz w:val="20"/>
                <w:szCs w:val="20"/>
              </w:rPr>
              <w:t>£337,625</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 xml:space="preserve">I think BNPP have substantially over-stated this figure because they are failing to account for the differences between the existing hostel rooms, the Appeal Scheme hostel rooms </w:t>
            </w:r>
            <w:r w:rsidRPr="00403CAE">
              <w:rPr>
                <w:rFonts w:ascii="Arial" w:hAnsi="Arial" w:cs="Arial"/>
                <w:sz w:val="18"/>
                <w:szCs w:val="18"/>
                <w:u w:val="single"/>
              </w:rPr>
              <w:t>and the number of people that are proposed to live in each</w:t>
            </w:r>
            <w:r w:rsidRPr="00403CAE">
              <w:rPr>
                <w:rFonts w:ascii="Arial" w:hAnsi="Arial" w:cs="Arial"/>
                <w:sz w:val="18"/>
                <w:szCs w:val="18"/>
              </w:rPr>
              <w:t>. BNPP also think Rapleys and I have made errors in this regard whereas it is BNPP who are in error.</w:t>
            </w:r>
          </w:p>
          <w:p w:rsidR="00403CAE" w:rsidRPr="00403CAE" w:rsidRDefault="00403CAE" w:rsidP="00403CAE">
            <w:pPr>
              <w:rPr>
                <w:rFonts w:ascii="Arial" w:hAnsi="Arial" w:cs="Arial"/>
                <w:sz w:val="18"/>
                <w:szCs w:val="18"/>
              </w:rPr>
            </w:pPr>
          </w:p>
        </w:tc>
      </w:tr>
      <w:tr w:rsidR="00403CAE" w:rsidTr="0057157B">
        <w:tc>
          <w:tcPr>
            <w:tcW w:w="1418" w:type="dxa"/>
          </w:tcPr>
          <w:p w:rsidR="00403CAE" w:rsidRPr="00A05139" w:rsidRDefault="00873CC2" w:rsidP="00873CC2">
            <w:pPr>
              <w:rPr>
                <w:rFonts w:ascii="Arial" w:hAnsi="Arial" w:cs="Arial"/>
                <w:sz w:val="20"/>
                <w:szCs w:val="20"/>
              </w:rPr>
            </w:pPr>
            <w:r>
              <w:rPr>
                <w:rFonts w:ascii="Arial" w:hAnsi="Arial" w:cs="Arial"/>
                <w:sz w:val="20"/>
                <w:szCs w:val="20"/>
              </w:rPr>
              <w:t>Gross</w:t>
            </w:r>
            <w:r w:rsidR="00403CAE">
              <w:rPr>
                <w:rFonts w:ascii="Arial" w:hAnsi="Arial" w:cs="Arial"/>
                <w:sz w:val="20"/>
                <w:szCs w:val="20"/>
              </w:rPr>
              <w:t xml:space="preserve"> achievable income from HMO/Co-Living Element</w:t>
            </w:r>
          </w:p>
        </w:tc>
        <w:tc>
          <w:tcPr>
            <w:tcW w:w="1276" w:type="dxa"/>
          </w:tcPr>
          <w:p w:rsidR="00403CAE" w:rsidRPr="00A05139" w:rsidRDefault="00403CAE" w:rsidP="00403CAE">
            <w:pPr>
              <w:rPr>
                <w:rFonts w:ascii="Arial" w:hAnsi="Arial" w:cs="Arial"/>
                <w:sz w:val="20"/>
                <w:szCs w:val="20"/>
              </w:rPr>
            </w:pPr>
            <w:r>
              <w:rPr>
                <w:rFonts w:ascii="Arial" w:hAnsi="Arial" w:cs="Arial"/>
                <w:sz w:val="20"/>
                <w:szCs w:val="20"/>
              </w:rPr>
              <w:t>£1,042,150</w:t>
            </w:r>
          </w:p>
        </w:tc>
        <w:tc>
          <w:tcPr>
            <w:tcW w:w="1390" w:type="dxa"/>
          </w:tcPr>
          <w:p w:rsidR="00403CAE" w:rsidRPr="00A05139" w:rsidRDefault="00403CAE" w:rsidP="00403CAE">
            <w:pPr>
              <w:rPr>
                <w:rFonts w:ascii="Arial" w:hAnsi="Arial" w:cs="Arial"/>
                <w:sz w:val="20"/>
                <w:szCs w:val="20"/>
              </w:rPr>
            </w:pPr>
            <w:r>
              <w:rPr>
                <w:rFonts w:ascii="Arial" w:hAnsi="Arial" w:cs="Arial"/>
                <w:sz w:val="20"/>
                <w:szCs w:val="20"/>
              </w:rPr>
              <w:t>No comment</w:t>
            </w:r>
          </w:p>
        </w:tc>
        <w:tc>
          <w:tcPr>
            <w:tcW w:w="1701" w:type="dxa"/>
          </w:tcPr>
          <w:p w:rsidR="00403CAE" w:rsidRPr="00A05139" w:rsidRDefault="00403CAE" w:rsidP="00403CAE">
            <w:pPr>
              <w:rPr>
                <w:rFonts w:ascii="Arial" w:hAnsi="Arial" w:cs="Arial"/>
                <w:sz w:val="20"/>
                <w:szCs w:val="20"/>
              </w:rPr>
            </w:pPr>
            <w:r>
              <w:rPr>
                <w:rFonts w:ascii="Arial" w:hAnsi="Arial" w:cs="Arial"/>
                <w:sz w:val="20"/>
                <w:szCs w:val="20"/>
              </w:rPr>
              <w:t>£1,012,872</w:t>
            </w:r>
          </w:p>
        </w:tc>
        <w:tc>
          <w:tcPr>
            <w:tcW w:w="1445" w:type="dxa"/>
          </w:tcPr>
          <w:p w:rsidR="00403CAE" w:rsidRPr="00A05139" w:rsidRDefault="00403CAE" w:rsidP="00403CAE">
            <w:pPr>
              <w:rPr>
                <w:rFonts w:ascii="Arial" w:hAnsi="Arial" w:cs="Arial"/>
                <w:sz w:val="20"/>
                <w:szCs w:val="20"/>
              </w:rPr>
            </w:pPr>
            <w:r>
              <w:rPr>
                <w:rFonts w:ascii="Arial" w:hAnsi="Arial" w:cs="Arial"/>
                <w:sz w:val="20"/>
                <w:szCs w:val="20"/>
              </w:rPr>
              <w:t>£1,042,150</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Could be agreed.</w:t>
            </w:r>
          </w:p>
        </w:tc>
      </w:tr>
      <w:tr w:rsidR="00403CAE" w:rsidTr="0057157B">
        <w:tc>
          <w:tcPr>
            <w:tcW w:w="1418" w:type="dxa"/>
          </w:tcPr>
          <w:p w:rsidR="00403CAE" w:rsidRDefault="00403CAE" w:rsidP="00403CAE">
            <w:pPr>
              <w:rPr>
                <w:rFonts w:ascii="Arial" w:hAnsi="Arial" w:cs="Arial"/>
                <w:sz w:val="20"/>
                <w:szCs w:val="20"/>
              </w:rPr>
            </w:pPr>
            <w:r>
              <w:rPr>
                <w:rFonts w:ascii="Arial" w:hAnsi="Arial" w:cs="Arial"/>
                <w:sz w:val="20"/>
                <w:szCs w:val="20"/>
              </w:rPr>
              <w:t>Food &amp; Beverage Capital Value</w:t>
            </w:r>
          </w:p>
        </w:tc>
        <w:tc>
          <w:tcPr>
            <w:tcW w:w="1276" w:type="dxa"/>
          </w:tcPr>
          <w:p w:rsidR="00403CAE" w:rsidRDefault="00403CAE" w:rsidP="00403CAE">
            <w:pPr>
              <w:rPr>
                <w:rFonts w:ascii="Arial" w:hAnsi="Arial" w:cs="Arial"/>
                <w:sz w:val="20"/>
                <w:szCs w:val="20"/>
              </w:rPr>
            </w:pPr>
            <w:r>
              <w:rPr>
                <w:rFonts w:ascii="Arial" w:hAnsi="Arial" w:cs="Arial"/>
                <w:sz w:val="20"/>
                <w:szCs w:val="20"/>
              </w:rPr>
              <w:t>£0</w:t>
            </w:r>
          </w:p>
        </w:tc>
        <w:tc>
          <w:tcPr>
            <w:tcW w:w="1390" w:type="dxa"/>
          </w:tcPr>
          <w:p w:rsidR="00403CAE" w:rsidRDefault="00403CAE" w:rsidP="00403CAE">
            <w:pPr>
              <w:rPr>
                <w:rFonts w:ascii="Arial" w:hAnsi="Arial" w:cs="Arial"/>
                <w:sz w:val="20"/>
                <w:szCs w:val="20"/>
              </w:rPr>
            </w:pPr>
            <w:r>
              <w:rPr>
                <w:rFonts w:ascii="Arial" w:hAnsi="Arial" w:cs="Arial"/>
                <w:sz w:val="20"/>
                <w:szCs w:val="20"/>
              </w:rPr>
              <w:t>No comment</w:t>
            </w:r>
          </w:p>
        </w:tc>
        <w:tc>
          <w:tcPr>
            <w:tcW w:w="1701" w:type="dxa"/>
          </w:tcPr>
          <w:p w:rsidR="00403CAE" w:rsidRDefault="00403CAE" w:rsidP="00403CAE">
            <w:pPr>
              <w:rPr>
                <w:rFonts w:ascii="Arial" w:hAnsi="Arial" w:cs="Arial"/>
                <w:sz w:val="20"/>
                <w:szCs w:val="20"/>
              </w:rPr>
            </w:pPr>
            <w:r>
              <w:rPr>
                <w:rFonts w:ascii="Arial" w:hAnsi="Arial" w:cs="Arial"/>
                <w:sz w:val="20"/>
                <w:szCs w:val="20"/>
              </w:rPr>
              <w:t>£593,000</w:t>
            </w:r>
          </w:p>
        </w:tc>
        <w:tc>
          <w:tcPr>
            <w:tcW w:w="1445" w:type="dxa"/>
          </w:tcPr>
          <w:p w:rsidR="00403CAE" w:rsidRDefault="00403CAE" w:rsidP="00403CAE">
            <w:pPr>
              <w:rPr>
                <w:rFonts w:ascii="Arial" w:hAnsi="Arial" w:cs="Arial"/>
                <w:sz w:val="20"/>
                <w:szCs w:val="20"/>
              </w:rPr>
            </w:pPr>
            <w:r>
              <w:rPr>
                <w:rFonts w:ascii="Arial" w:hAnsi="Arial" w:cs="Arial"/>
                <w:sz w:val="20"/>
                <w:szCs w:val="20"/>
              </w:rPr>
              <w:t>£0</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There is no scope to generate commercial food and beverage income in the Appeal Scheme.</w:t>
            </w:r>
          </w:p>
          <w:p w:rsidR="00403CAE" w:rsidRPr="00403CAE" w:rsidRDefault="00403CAE" w:rsidP="00403CAE">
            <w:pPr>
              <w:rPr>
                <w:rFonts w:ascii="Arial" w:hAnsi="Arial" w:cs="Arial"/>
                <w:sz w:val="18"/>
                <w:szCs w:val="18"/>
              </w:rPr>
            </w:pPr>
          </w:p>
        </w:tc>
      </w:tr>
      <w:tr w:rsidR="00403CAE" w:rsidTr="0057157B">
        <w:tc>
          <w:tcPr>
            <w:tcW w:w="1418" w:type="dxa"/>
          </w:tcPr>
          <w:p w:rsidR="00403CAE" w:rsidRPr="00A05139" w:rsidRDefault="00403CAE" w:rsidP="00403CAE">
            <w:pPr>
              <w:rPr>
                <w:rFonts w:ascii="Arial" w:hAnsi="Arial" w:cs="Arial"/>
                <w:sz w:val="20"/>
                <w:szCs w:val="20"/>
              </w:rPr>
            </w:pPr>
            <w:r>
              <w:rPr>
                <w:rFonts w:ascii="Arial" w:hAnsi="Arial" w:cs="Arial"/>
                <w:sz w:val="20"/>
                <w:szCs w:val="20"/>
              </w:rPr>
              <w:t>GDV of Appeal Scheme</w:t>
            </w:r>
          </w:p>
        </w:tc>
        <w:tc>
          <w:tcPr>
            <w:tcW w:w="1276" w:type="dxa"/>
          </w:tcPr>
          <w:p w:rsidR="00403CAE" w:rsidRDefault="00403CAE" w:rsidP="00403CAE">
            <w:pPr>
              <w:rPr>
                <w:rFonts w:ascii="Arial" w:hAnsi="Arial" w:cs="Arial"/>
                <w:sz w:val="20"/>
                <w:szCs w:val="20"/>
              </w:rPr>
            </w:pPr>
            <w:r>
              <w:rPr>
                <w:rFonts w:ascii="Arial" w:hAnsi="Arial" w:cs="Arial"/>
                <w:sz w:val="20"/>
                <w:szCs w:val="20"/>
              </w:rPr>
              <w:t>£22,732,467</w:t>
            </w:r>
          </w:p>
          <w:p w:rsidR="00403CAE" w:rsidRPr="00A05139" w:rsidRDefault="00403CAE" w:rsidP="00403CAE">
            <w:pPr>
              <w:rPr>
                <w:rFonts w:ascii="Arial" w:hAnsi="Arial" w:cs="Arial"/>
                <w:sz w:val="20"/>
                <w:szCs w:val="20"/>
              </w:rPr>
            </w:pPr>
          </w:p>
        </w:tc>
        <w:tc>
          <w:tcPr>
            <w:tcW w:w="1390" w:type="dxa"/>
          </w:tcPr>
          <w:p w:rsidR="00403CAE" w:rsidRPr="00A05139" w:rsidRDefault="00403CAE" w:rsidP="00403CAE">
            <w:pPr>
              <w:rPr>
                <w:rFonts w:ascii="Arial" w:hAnsi="Arial" w:cs="Arial"/>
                <w:sz w:val="20"/>
                <w:szCs w:val="20"/>
              </w:rPr>
            </w:pPr>
            <w:r>
              <w:rPr>
                <w:rFonts w:ascii="Arial" w:hAnsi="Arial" w:cs="Arial"/>
                <w:sz w:val="20"/>
                <w:szCs w:val="20"/>
              </w:rPr>
              <w:t>No comment</w:t>
            </w:r>
          </w:p>
        </w:tc>
        <w:tc>
          <w:tcPr>
            <w:tcW w:w="1701" w:type="dxa"/>
          </w:tcPr>
          <w:p w:rsidR="00FD60FA" w:rsidRDefault="00403CAE" w:rsidP="0008786B">
            <w:pPr>
              <w:rPr>
                <w:rFonts w:ascii="Arial" w:hAnsi="Arial" w:cs="Arial"/>
                <w:color w:val="FF0000"/>
                <w:sz w:val="20"/>
                <w:szCs w:val="20"/>
              </w:rPr>
            </w:pPr>
            <w:r w:rsidRPr="00B303B0">
              <w:rPr>
                <w:rFonts w:ascii="Arial" w:hAnsi="Arial" w:cs="Arial"/>
                <w:color w:val="FF0000"/>
                <w:sz w:val="20"/>
                <w:szCs w:val="20"/>
              </w:rPr>
              <w:t>£28,998,212</w:t>
            </w:r>
          </w:p>
          <w:p w:rsidR="00403CAE" w:rsidRPr="00A05139" w:rsidRDefault="007477A9" w:rsidP="0008786B">
            <w:pPr>
              <w:rPr>
                <w:rFonts w:ascii="Arial" w:hAnsi="Arial" w:cs="Arial"/>
                <w:sz w:val="20"/>
                <w:szCs w:val="20"/>
              </w:rPr>
            </w:pPr>
            <w:r w:rsidRPr="007477A9">
              <w:rPr>
                <w:rFonts w:ascii="Arial" w:hAnsi="Arial" w:cs="Arial"/>
                <w:b/>
                <w:color w:val="FF0000"/>
                <w:sz w:val="32"/>
                <w:szCs w:val="32"/>
              </w:rPr>
              <w:t xml:space="preserve">* </w:t>
            </w:r>
            <w:r w:rsidRPr="0008786B">
              <w:rPr>
                <w:rFonts w:ascii="Arial" w:hAnsi="Arial" w:cs="Arial"/>
                <w:b/>
                <w:color w:val="FF0000"/>
                <w:sz w:val="18"/>
                <w:szCs w:val="18"/>
              </w:rPr>
              <w:t>(see important comments in Section 5.2</w:t>
            </w:r>
            <w:r w:rsidRPr="0008786B">
              <w:rPr>
                <w:rFonts w:ascii="Arial" w:hAnsi="Arial" w:cs="Arial"/>
                <w:color w:val="FF0000"/>
                <w:sz w:val="18"/>
                <w:szCs w:val="18"/>
              </w:rPr>
              <w:t xml:space="preserve"> </w:t>
            </w:r>
            <w:r w:rsidRPr="0008786B">
              <w:rPr>
                <w:rFonts w:ascii="Arial" w:hAnsi="Arial" w:cs="Arial"/>
                <w:b/>
                <w:color w:val="FF0000"/>
                <w:sz w:val="18"/>
                <w:szCs w:val="18"/>
              </w:rPr>
              <w:t>below)</w:t>
            </w:r>
          </w:p>
        </w:tc>
        <w:tc>
          <w:tcPr>
            <w:tcW w:w="1445" w:type="dxa"/>
          </w:tcPr>
          <w:p w:rsidR="00403CAE" w:rsidRPr="00A05139" w:rsidRDefault="00403CAE" w:rsidP="00403CAE">
            <w:pPr>
              <w:rPr>
                <w:rFonts w:ascii="Arial" w:hAnsi="Arial" w:cs="Arial"/>
                <w:sz w:val="20"/>
                <w:szCs w:val="20"/>
              </w:rPr>
            </w:pPr>
            <w:r>
              <w:rPr>
                <w:rFonts w:ascii="Arial" w:hAnsi="Arial" w:cs="Arial"/>
                <w:sz w:val="20"/>
                <w:szCs w:val="20"/>
              </w:rPr>
              <w:t xml:space="preserve">£23,171,506 </w:t>
            </w:r>
            <w:r w:rsidRPr="00403CAE">
              <w:rPr>
                <w:rFonts w:ascii="Arial" w:hAnsi="Arial" w:cs="Arial"/>
                <w:sz w:val="16"/>
                <w:szCs w:val="16"/>
              </w:rPr>
              <w:t>(on account of using lower purchaser costs)</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BNPP’s GDV is substantially over-stated because of their net rent assumption for the hostel element of the Appeal Scheme and their food and beverage assumption.</w:t>
            </w:r>
          </w:p>
          <w:p w:rsidR="00403CAE" w:rsidRPr="00403CAE" w:rsidRDefault="00403CAE" w:rsidP="00403CAE">
            <w:pPr>
              <w:rPr>
                <w:rFonts w:ascii="Arial" w:hAnsi="Arial" w:cs="Arial"/>
                <w:sz w:val="18"/>
                <w:szCs w:val="18"/>
              </w:rPr>
            </w:pPr>
          </w:p>
        </w:tc>
      </w:tr>
      <w:tr w:rsidR="00403CAE" w:rsidTr="0057157B">
        <w:tc>
          <w:tcPr>
            <w:tcW w:w="1418" w:type="dxa"/>
          </w:tcPr>
          <w:p w:rsidR="00403CAE" w:rsidRDefault="00403CAE" w:rsidP="00403CAE">
            <w:pPr>
              <w:rPr>
                <w:rFonts w:ascii="Arial" w:hAnsi="Arial" w:cs="Arial"/>
                <w:sz w:val="20"/>
                <w:szCs w:val="20"/>
              </w:rPr>
            </w:pPr>
            <w:r>
              <w:rPr>
                <w:rFonts w:ascii="Arial" w:hAnsi="Arial" w:cs="Arial"/>
                <w:sz w:val="20"/>
                <w:szCs w:val="20"/>
              </w:rPr>
              <w:t>Build costs</w:t>
            </w:r>
          </w:p>
        </w:tc>
        <w:tc>
          <w:tcPr>
            <w:tcW w:w="1276" w:type="dxa"/>
          </w:tcPr>
          <w:p w:rsidR="00403CAE" w:rsidRDefault="00403CAE" w:rsidP="00403CAE">
            <w:pPr>
              <w:rPr>
                <w:rFonts w:ascii="Arial" w:hAnsi="Arial" w:cs="Arial"/>
                <w:sz w:val="20"/>
                <w:szCs w:val="20"/>
              </w:rPr>
            </w:pPr>
            <w:r>
              <w:rPr>
                <w:rFonts w:ascii="Arial" w:hAnsi="Arial" w:cs="Arial"/>
                <w:sz w:val="20"/>
                <w:szCs w:val="20"/>
              </w:rPr>
              <w:t>£14,505,100</w:t>
            </w:r>
          </w:p>
        </w:tc>
        <w:tc>
          <w:tcPr>
            <w:tcW w:w="1390" w:type="dxa"/>
          </w:tcPr>
          <w:p w:rsidR="00403CAE" w:rsidRDefault="00403CAE" w:rsidP="00403CAE">
            <w:pPr>
              <w:rPr>
                <w:rFonts w:ascii="Arial" w:hAnsi="Arial" w:cs="Arial"/>
                <w:sz w:val="20"/>
                <w:szCs w:val="20"/>
              </w:rPr>
            </w:pPr>
            <w:r>
              <w:rPr>
                <w:rFonts w:ascii="Arial" w:hAnsi="Arial" w:cs="Arial"/>
                <w:sz w:val="20"/>
                <w:szCs w:val="20"/>
              </w:rPr>
              <w:t>No comment</w:t>
            </w:r>
          </w:p>
        </w:tc>
        <w:tc>
          <w:tcPr>
            <w:tcW w:w="1701" w:type="dxa"/>
          </w:tcPr>
          <w:p w:rsidR="00403CAE" w:rsidRDefault="00403CAE" w:rsidP="0008786B">
            <w:pPr>
              <w:rPr>
                <w:rFonts w:ascii="Arial" w:hAnsi="Arial" w:cs="Arial"/>
                <w:sz w:val="20"/>
                <w:szCs w:val="20"/>
              </w:rPr>
            </w:pPr>
            <w:r>
              <w:rPr>
                <w:rFonts w:ascii="Arial" w:hAnsi="Arial" w:cs="Arial"/>
                <w:sz w:val="20"/>
                <w:szCs w:val="20"/>
              </w:rPr>
              <w:t>£13,254,960</w:t>
            </w:r>
          </w:p>
        </w:tc>
        <w:tc>
          <w:tcPr>
            <w:tcW w:w="1445" w:type="dxa"/>
          </w:tcPr>
          <w:p w:rsidR="00403CAE" w:rsidRDefault="00403CAE" w:rsidP="00403CAE">
            <w:pPr>
              <w:rPr>
                <w:rFonts w:ascii="Arial" w:hAnsi="Arial" w:cs="Arial"/>
                <w:sz w:val="20"/>
                <w:szCs w:val="20"/>
              </w:rPr>
            </w:pPr>
            <w:r>
              <w:rPr>
                <w:rFonts w:ascii="Arial" w:hAnsi="Arial" w:cs="Arial"/>
                <w:sz w:val="20"/>
                <w:szCs w:val="20"/>
              </w:rPr>
              <w:t>£14,505,100</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BNPP/RLF cost assumption looks low compared to RLC cost review of another co-living led scheme at Chatfield Road.</w:t>
            </w:r>
          </w:p>
          <w:p w:rsidR="00403CAE" w:rsidRPr="00403CAE" w:rsidRDefault="00403CAE" w:rsidP="00403CAE">
            <w:pPr>
              <w:rPr>
                <w:rFonts w:ascii="Arial" w:hAnsi="Arial" w:cs="Arial"/>
                <w:sz w:val="18"/>
                <w:szCs w:val="18"/>
              </w:rPr>
            </w:pPr>
          </w:p>
        </w:tc>
      </w:tr>
      <w:tr w:rsidR="00403CAE" w:rsidTr="0057157B">
        <w:tc>
          <w:tcPr>
            <w:tcW w:w="1418" w:type="dxa"/>
          </w:tcPr>
          <w:p w:rsidR="00403CAE" w:rsidRPr="00A05139" w:rsidRDefault="00403CAE" w:rsidP="00403CAE">
            <w:pPr>
              <w:rPr>
                <w:rFonts w:ascii="Arial" w:hAnsi="Arial" w:cs="Arial"/>
                <w:sz w:val="20"/>
                <w:szCs w:val="20"/>
              </w:rPr>
            </w:pPr>
            <w:r>
              <w:rPr>
                <w:rFonts w:ascii="Arial" w:hAnsi="Arial" w:cs="Arial"/>
                <w:sz w:val="20"/>
                <w:szCs w:val="20"/>
              </w:rPr>
              <w:t>All other appraisal inputs</w:t>
            </w:r>
          </w:p>
        </w:tc>
        <w:tc>
          <w:tcPr>
            <w:tcW w:w="1276" w:type="dxa"/>
          </w:tcPr>
          <w:p w:rsidR="00403CAE" w:rsidRPr="00A05139" w:rsidRDefault="00403CAE" w:rsidP="00403CAE">
            <w:pPr>
              <w:rPr>
                <w:rFonts w:ascii="Arial" w:hAnsi="Arial" w:cs="Arial"/>
                <w:sz w:val="20"/>
                <w:szCs w:val="20"/>
              </w:rPr>
            </w:pPr>
            <w:r>
              <w:rPr>
                <w:rFonts w:ascii="Arial" w:hAnsi="Arial" w:cs="Arial"/>
                <w:sz w:val="20"/>
                <w:szCs w:val="20"/>
              </w:rPr>
              <w:t>See Comment column to right</w:t>
            </w:r>
          </w:p>
        </w:tc>
        <w:tc>
          <w:tcPr>
            <w:tcW w:w="1390" w:type="dxa"/>
          </w:tcPr>
          <w:p w:rsidR="00403CAE" w:rsidRPr="00A05139" w:rsidRDefault="00403CAE" w:rsidP="00403CAE">
            <w:pPr>
              <w:rPr>
                <w:rFonts w:ascii="Arial" w:hAnsi="Arial" w:cs="Arial"/>
                <w:sz w:val="20"/>
                <w:szCs w:val="20"/>
              </w:rPr>
            </w:pPr>
            <w:r>
              <w:rPr>
                <w:rFonts w:ascii="Arial" w:hAnsi="Arial" w:cs="Arial"/>
                <w:sz w:val="20"/>
                <w:szCs w:val="20"/>
              </w:rPr>
              <w:t>n/a</w:t>
            </w:r>
          </w:p>
        </w:tc>
        <w:tc>
          <w:tcPr>
            <w:tcW w:w="1701" w:type="dxa"/>
          </w:tcPr>
          <w:p w:rsidR="00403CAE" w:rsidRPr="00A05139" w:rsidRDefault="00403CAE" w:rsidP="0008786B">
            <w:pPr>
              <w:rPr>
                <w:rFonts w:ascii="Arial" w:hAnsi="Arial" w:cs="Arial"/>
                <w:sz w:val="20"/>
                <w:szCs w:val="20"/>
              </w:rPr>
            </w:pPr>
            <w:r>
              <w:rPr>
                <w:rFonts w:ascii="Arial" w:hAnsi="Arial" w:cs="Arial"/>
                <w:sz w:val="20"/>
                <w:szCs w:val="20"/>
              </w:rPr>
              <w:t>See Comment column to right</w:t>
            </w:r>
          </w:p>
        </w:tc>
        <w:tc>
          <w:tcPr>
            <w:tcW w:w="1445" w:type="dxa"/>
          </w:tcPr>
          <w:p w:rsidR="00403CAE" w:rsidRPr="00A05139" w:rsidRDefault="00403CAE" w:rsidP="00403CAE">
            <w:pPr>
              <w:rPr>
                <w:rFonts w:ascii="Arial" w:hAnsi="Arial" w:cs="Arial"/>
                <w:sz w:val="20"/>
                <w:szCs w:val="20"/>
              </w:rPr>
            </w:pPr>
            <w:r>
              <w:rPr>
                <w:rFonts w:ascii="Arial" w:hAnsi="Arial" w:cs="Arial"/>
                <w:sz w:val="20"/>
                <w:szCs w:val="20"/>
              </w:rPr>
              <w:t>See Comment column to right</w:t>
            </w:r>
          </w:p>
        </w:tc>
        <w:tc>
          <w:tcPr>
            <w:tcW w:w="3686" w:type="dxa"/>
          </w:tcPr>
          <w:p w:rsidR="00403CAE" w:rsidRPr="00403CAE" w:rsidRDefault="00403CAE" w:rsidP="00403CAE">
            <w:pPr>
              <w:rPr>
                <w:rFonts w:ascii="Arial" w:hAnsi="Arial" w:cs="Arial"/>
                <w:sz w:val="18"/>
                <w:szCs w:val="18"/>
              </w:rPr>
            </w:pPr>
            <w:r w:rsidRPr="00403CAE">
              <w:rPr>
                <w:rFonts w:ascii="Arial" w:hAnsi="Arial" w:cs="Arial"/>
                <w:sz w:val="18"/>
                <w:szCs w:val="18"/>
              </w:rPr>
              <w:t>Agreed</w:t>
            </w:r>
          </w:p>
        </w:tc>
      </w:tr>
      <w:tr w:rsidR="00DE0EF8" w:rsidTr="0057157B">
        <w:tc>
          <w:tcPr>
            <w:tcW w:w="1418" w:type="dxa"/>
          </w:tcPr>
          <w:p w:rsidR="00DE0EF8" w:rsidRDefault="00DE0EF8" w:rsidP="00403CAE">
            <w:pPr>
              <w:rPr>
                <w:rFonts w:ascii="Arial" w:hAnsi="Arial" w:cs="Arial"/>
                <w:sz w:val="20"/>
                <w:szCs w:val="20"/>
              </w:rPr>
            </w:pPr>
            <w:r>
              <w:rPr>
                <w:rFonts w:ascii="Arial" w:hAnsi="Arial" w:cs="Arial"/>
                <w:sz w:val="20"/>
                <w:szCs w:val="20"/>
              </w:rPr>
              <w:t>Residual Profit</w:t>
            </w:r>
          </w:p>
        </w:tc>
        <w:tc>
          <w:tcPr>
            <w:tcW w:w="1276" w:type="dxa"/>
          </w:tcPr>
          <w:p w:rsidR="00DE0EF8" w:rsidRDefault="00DE0EF8" w:rsidP="00403CAE">
            <w:pPr>
              <w:rPr>
                <w:rFonts w:ascii="Arial" w:hAnsi="Arial" w:cs="Arial"/>
                <w:sz w:val="20"/>
                <w:szCs w:val="20"/>
              </w:rPr>
            </w:pPr>
            <w:r>
              <w:rPr>
                <w:rFonts w:ascii="Arial" w:hAnsi="Arial" w:cs="Arial"/>
                <w:sz w:val="20"/>
                <w:szCs w:val="20"/>
              </w:rPr>
              <w:t>£0</w:t>
            </w:r>
          </w:p>
        </w:tc>
        <w:tc>
          <w:tcPr>
            <w:tcW w:w="1390" w:type="dxa"/>
          </w:tcPr>
          <w:p w:rsidR="00DE0EF8" w:rsidRDefault="00DE0EF8" w:rsidP="00403CAE">
            <w:pPr>
              <w:rPr>
                <w:rFonts w:ascii="Arial" w:hAnsi="Arial" w:cs="Arial"/>
                <w:sz w:val="20"/>
                <w:szCs w:val="20"/>
              </w:rPr>
            </w:pPr>
            <w:r>
              <w:rPr>
                <w:rFonts w:ascii="Arial" w:hAnsi="Arial" w:cs="Arial"/>
                <w:sz w:val="20"/>
                <w:szCs w:val="20"/>
              </w:rPr>
              <w:t>No comment</w:t>
            </w:r>
          </w:p>
        </w:tc>
        <w:tc>
          <w:tcPr>
            <w:tcW w:w="1701" w:type="dxa"/>
          </w:tcPr>
          <w:p w:rsidR="00FD60FA" w:rsidRDefault="00DE0EF8" w:rsidP="0008786B">
            <w:pPr>
              <w:rPr>
                <w:rFonts w:ascii="Arial" w:hAnsi="Arial" w:cs="Arial"/>
                <w:color w:val="FF0000"/>
                <w:sz w:val="20"/>
                <w:szCs w:val="20"/>
              </w:rPr>
            </w:pPr>
            <w:r w:rsidRPr="00FD60FA">
              <w:rPr>
                <w:rFonts w:ascii="Arial" w:hAnsi="Arial" w:cs="Arial"/>
                <w:color w:val="FF0000"/>
                <w:sz w:val="20"/>
                <w:szCs w:val="20"/>
              </w:rPr>
              <w:t>£</w:t>
            </w:r>
            <w:r w:rsidR="00FD60FA" w:rsidRPr="00FD60FA">
              <w:rPr>
                <w:rFonts w:ascii="Arial" w:hAnsi="Arial" w:cs="Arial"/>
                <w:color w:val="FF0000"/>
                <w:sz w:val="20"/>
                <w:szCs w:val="20"/>
              </w:rPr>
              <w:t>4.6m</w:t>
            </w:r>
            <w:r w:rsidR="0008786B">
              <w:rPr>
                <w:rFonts w:ascii="Arial" w:hAnsi="Arial" w:cs="Arial"/>
                <w:color w:val="FF0000"/>
                <w:sz w:val="20"/>
                <w:szCs w:val="20"/>
              </w:rPr>
              <w:t xml:space="preserve"> + circa £890,000</w:t>
            </w:r>
          </w:p>
          <w:p w:rsidR="00FD60FA" w:rsidRPr="0008786B" w:rsidRDefault="00FD60FA" w:rsidP="0008786B">
            <w:pPr>
              <w:rPr>
                <w:rFonts w:ascii="Arial" w:hAnsi="Arial" w:cs="Arial"/>
                <w:sz w:val="18"/>
                <w:szCs w:val="18"/>
              </w:rPr>
            </w:pPr>
            <w:r w:rsidRPr="007477A9">
              <w:rPr>
                <w:rFonts w:ascii="Arial" w:hAnsi="Arial" w:cs="Arial"/>
                <w:b/>
                <w:color w:val="FF0000"/>
                <w:sz w:val="32"/>
                <w:szCs w:val="32"/>
              </w:rPr>
              <w:t xml:space="preserve">* </w:t>
            </w:r>
            <w:r w:rsidRPr="0008786B">
              <w:rPr>
                <w:rFonts w:ascii="Arial" w:hAnsi="Arial" w:cs="Arial"/>
                <w:b/>
                <w:color w:val="FF0000"/>
                <w:sz w:val="18"/>
                <w:szCs w:val="18"/>
              </w:rPr>
              <w:t>(see important comments in Section 5.2</w:t>
            </w:r>
            <w:r w:rsidRPr="0008786B">
              <w:rPr>
                <w:rFonts w:ascii="Arial" w:hAnsi="Arial" w:cs="Arial"/>
                <w:color w:val="FF0000"/>
                <w:sz w:val="18"/>
                <w:szCs w:val="18"/>
              </w:rPr>
              <w:t xml:space="preserve"> </w:t>
            </w:r>
            <w:r w:rsidRPr="0008786B">
              <w:rPr>
                <w:rFonts w:ascii="Arial" w:hAnsi="Arial" w:cs="Arial"/>
                <w:b/>
                <w:color w:val="FF0000"/>
                <w:sz w:val="18"/>
                <w:szCs w:val="18"/>
              </w:rPr>
              <w:t>below)</w:t>
            </w:r>
          </w:p>
        </w:tc>
        <w:tc>
          <w:tcPr>
            <w:tcW w:w="1445" w:type="dxa"/>
          </w:tcPr>
          <w:p w:rsidR="00DE0EF8" w:rsidRDefault="00DE0EF8" w:rsidP="00403CAE">
            <w:pPr>
              <w:rPr>
                <w:rFonts w:ascii="Arial" w:hAnsi="Arial" w:cs="Arial"/>
                <w:sz w:val="20"/>
                <w:szCs w:val="20"/>
              </w:rPr>
            </w:pPr>
            <w:r>
              <w:rPr>
                <w:rFonts w:ascii="Arial" w:hAnsi="Arial" w:cs="Arial"/>
                <w:sz w:val="20"/>
                <w:szCs w:val="20"/>
              </w:rPr>
              <w:t>£0</w:t>
            </w:r>
          </w:p>
        </w:tc>
        <w:tc>
          <w:tcPr>
            <w:tcW w:w="3686" w:type="dxa"/>
          </w:tcPr>
          <w:p w:rsidR="00DE0EF8" w:rsidRPr="00403CAE" w:rsidRDefault="00DE0EF8" w:rsidP="00403CAE">
            <w:pPr>
              <w:rPr>
                <w:rFonts w:ascii="Arial" w:hAnsi="Arial" w:cs="Arial"/>
                <w:sz w:val="18"/>
                <w:szCs w:val="18"/>
              </w:rPr>
            </w:pPr>
          </w:p>
        </w:tc>
      </w:tr>
    </w:tbl>
    <w:p w:rsidR="00095B65" w:rsidRDefault="00406635" w:rsidP="00A54577">
      <w:pPr>
        <w:spacing w:after="0" w:line="480" w:lineRule="auto"/>
        <w:ind w:left="142" w:hanging="709"/>
        <w:jc w:val="both"/>
        <w:rPr>
          <w:rFonts w:ascii="Arial" w:hAnsi="Arial" w:cs="Arial"/>
          <w:sz w:val="24"/>
          <w:szCs w:val="24"/>
        </w:rPr>
      </w:pPr>
      <w:r>
        <w:rPr>
          <w:rFonts w:ascii="Arial" w:hAnsi="Arial" w:cs="Arial"/>
          <w:b/>
          <w:sz w:val="24"/>
          <w:szCs w:val="24"/>
        </w:rPr>
        <w:br w:type="page"/>
      </w:r>
      <w:r w:rsidR="003B7287" w:rsidRPr="003B7287">
        <w:rPr>
          <w:rFonts w:ascii="Arial" w:hAnsi="Arial" w:cs="Arial"/>
          <w:sz w:val="24"/>
          <w:szCs w:val="24"/>
        </w:rPr>
        <w:t>5.2</w:t>
      </w:r>
      <w:r w:rsidR="003B7287" w:rsidRPr="003B7287">
        <w:rPr>
          <w:rFonts w:ascii="Arial" w:hAnsi="Arial" w:cs="Arial"/>
          <w:sz w:val="24"/>
          <w:szCs w:val="24"/>
        </w:rPr>
        <w:tab/>
      </w:r>
      <w:r w:rsidR="003B7287">
        <w:rPr>
          <w:rFonts w:ascii="Arial" w:hAnsi="Arial" w:cs="Arial"/>
          <w:sz w:val="24"/>
          <w:szCs w:val="24"/>
        </w:rPr>
        <w:t xml:space="preserve">If one </w:t>
      </w:r>
      <w:r w:rsidR="004C7D97">
        <w:rPr>
          <w:rFonts w:ascii="Arial" w:hAnsi="Arial" w:cs="Arial"/>
          <w:sz w:val="24"/>
          <w:szCs w:val="24"/>
        </w:rPr>
        <w:t>considers</w:t>
      </w:r>
      <w:r w:rsidR="003B7287">
        <w:rPr>
          <w:rFonts w:ascii="Arial" w:hAnsi="Arial" w:cs="Arial"/>
          <w:sz w:val="24"/>
          <w:szCs w:val="24"/>
        </w:rPr>
        <w:t xml:space="preserve"> BNPP’s </w:t>
      </w:r>
      <w:r w:rsidR="008963CB">
        <w:rPr>
          <w:rFonts w:ascii="Arial" w:hAnsi="Arial" w:cs="Arial"/>
          <w:sz w:val="24"/>
          <w:szCs w:val="24"/>
        </w:rPr>
        <w:t xml:space="preserve">S.4.5, </w:t>
      </w:r>
      <w:r w:rsidR="003B7287">
        <w:rPr>
          <w:rFonts w:ascii="Arial" w:hAnsi="Arial" w:cs="Arial"/>
          <w:sz w:val="24"/>
          <w:szCs w:val="24"/>
        </w:rPr>
        <w:t xml:space="preserve">S.6.10 – S.6.14 and S.7.1 – S.7.5 and their appraisal in Appendix 5 of their report, </w:t>
      </w:r>
      <w:r w:rsidR="006F1491">
        <w:rPr>
          <w:rFonts w:ascii="Arial" w:hAnsi="Arial" w:cs="Arial"/>
          <w:sz w:val="24"/>
          <w:szCs w:val="24"/>
        </w:rPr>
        <w:t xml:space="preserve">BNPP’s </w:t>
      </w:r>
      <w:r w:rsidR="00095B65">
        <w:rPr>
          <w:rFonts w:ascii="Arial" w:hAnsi="Arial" w:cs="Arial"/>
          <w:sz w:val="24"/>
          <w:szCs w:val="24"/>
        </w:rPr>
        <w:t>findings effectively indicate that 84 of the 109 rooms proposed within the Appeal Scheme will be ‘</w:t>
      </w:r>
      <w:r w:rsidR="00095B65" w:rsidRPr="00536B8B">
        <w:rPr>
          <w:rFonts w:ascii="Arial" w:hAnsi="Arial" w:cs="Arial"/>
          <w:sz w:val="24"/>
          <w:szCs w:val="24"/>
          <w:u w:val="single"/>
        </w:rPr>
        <w:t>naturally</w:t>
      </w:r>
      <w:r w:rsidR="00095B65" w:rsidRPr="00536B8B">
        <w:rPr>
          <w:rFonts w:ascii="Arial" w:hAnsi="Arial" w:cs="Arial"/>
          <w:sz w:val="24"/>
          <w:szCs w:val="24"/>
        </w:rPr>
        <w:t xml:space="preserve">’ </w:t>
      </w:r>
      <w:r w:rsidR="00095B65">
        <w:rPr>
          <w:rFonts w:ascii="Arial" w:hAnsi="Arial" w:cs="Arial"/>
          <w:sz w:val="24"/>
          <w:szCs w:val="24"/>
        </w:rPr>
        <w:t>affordable.</w:t>
      </w:r>
    </w:p>
    <w:p w:rsidR="00095B65" w:rsidRDefault="00095B65" w:rsidP="00A54577">
      <w:pPr>
        <w:spacing w:after="0" w:line="480" w:lineRule="auto"/>
        <w:ind w:left="142"/>
        <w:jc w:val="both"/>
        <w:rPr>
          <w:rFonts w:ascii="Arial" w:hAnsi="Arial" w:cs="Arial"/>
          <w:sz w:val="24"/>
          <w:szCs w:val="24"/>
        </w:rPr>
      </w:pPr>
      <w:r>
        <w:rPr>
          <w:rFonts w:ascii="Arial" w:hAnsi="Arial" w:cs="Arial"/>
          <w:sz w:val="24"/>
          <w:szCs w:val="24"/>
        </w:rPr>
        <w:t xml:space="preserve">BNPP’s concern (which is not necessarily a </w:t>
      </w:r>
      <w:r w:rsidR="00046A91">
        <w:rPr>
          <w:rFonts w:ascii="Arial" w:hAnsi="Arial" w:cs="Arial"/>
          <w:sz w:val="24"/>
          <w:szCs w:val="24"/>
        </w:rPr>
        <w:t>‘</w:t>
      </w:r>
      <w:r>
        <w:rPr>
          <w:rFonts w:ascii="Arial" w:hAnsi="Arial" w:cs="Arial"/>
          <w:sz w:val="24"/>
          <w:szCs w:val="24"/>
        </w:rPr>
        <w:t>viability</w:t>
      </w:r>
      <w:r w:rsidR="00046A91">
        <w:rPr>
          <w:rFonts w:ascii="Arial" w:hAnsi="Arial" w:cs="Arial"/>
          <w:sz w:val="24"/>
          <w:szCs w:val="24"/>
        </w:rPr>
        <w:t>’</w:t>
      </w:r>
      <w:r>
        <w:rPr>
          <w:rFonts w:ascii="Arial" w:hAnsi="Arial" w:cs="Arial"/>
          <w:sz w:val="24"/>
          <w:szCs w:val="24"/>
        </w:rPr>
        <w:t xml:space="preserve"> concern) is that, unless some of the </w:t>
      </w:r>
      <w:r w:rsidR="00536B8B">
        <w:rPr>
          <w:rFonts w:ascii="Arial" w:hAnsi="Arial" w:cs="Arial"/>
          <w:sz w:val="24"/>
          <w:szCs w:val="24"/>
        </w:rPr>
        <w:t xml:space="preserve">HMO </w:t>
      </w:r>
      <w:r>
        <w:rPr>
          <w:rFonts w:ascii="Arial" w:hAnsi="Arial" w:cs="Arial"/>
          <w:sz w:val="24"/>
          <w:szCs w:val="24"/>
        </w:rPr>
        <w:t xml:space="preserve">rooms within the </w:t>
      </w:r>
      <w:r w:rsidR="00187B0F">
        <w:rPr>
          <w:rFonts w:ascii="Arial" w:hAnsi="Arial" w:cs="Arial"/>
          <w:sz w:val="24"/>
          <w:szCs w:val="24"/>
        </w:rPr>
        <w:t>Appeal Scheme</w:t>
      </w:r>
      <w:r>
        <w:rPr>
          <w:rFonts w:ascii="Arial" w:hAnsi="Arial" w:cs="Arial"/>
          <w:sz w:val="24"/>
          <w:szCs w:val="24"/>
        </w:rPr>
        <w:t xml:space="preserve"> are</w:t>
      </w:r>
      <w:r w:rsidR="00187B0F">
        <w:rPr>
          <w:rFonts w:ascii="Arial" w:hAnsi="Arial" w:cs="Arial"/>
          <w:sz w:val="24"/>
          <w:szCs w:val="24"/>
        </w:rPr>
        <w:t xml:space="preserve"> restricted to being affordable they might not remain affordable</w:t>
      </w:r>
      <w:r>
        <w:rPr>
          <w:rFonts w:ascii="Arial" w:hAnsi="Arial" w:cs="Arial"/>
          <w:sz w:val="24"/>
          <w:szCs w:val="24"/>
        </w:rPr>
        <w:t>.</w:t>
      </w:r>
      <w:r w:rsidR="00187B0F">
        <w:rPr>
          <w:rFonts w:ascii="Arial" w:hAnsi="Arial" w:cs="Arial"/>
          <w:sz w:val="24"/>
          <w:szCs w:val="24"/>
        </w:rPr>
        <w:t xml:space="preserve"> However, current market rates are such that this </w:t>
      </w:r>
      <w:r w:rsidR="0057157B">
        <w:rPr>
          <w:rFonts w:ascii="Arial" w:hAnsi="Arial" w:cs="Arial"/>
          <w:sz w:val="24"/>
          <w:szCs w:val="24"/>
        </w:rPr>
        <w:t>is not happening and is not likely to happen.</w:t>
      </w:r>
    </w:p>
    <w:p w:rsidR="00095B65" w:rsidRDefault="00095B65" w:rsidP="00A54577">
      <w:pPr>
        <w:spacing w:after="0" w:line="480" w:lineRule="auto"/>
        <w:ind w:left="142"/>
        <w:jc w:val="both"/>
        <w:rPr>
          <w:rFonts w:ascii="Arial" w:hAnsi="Arial" w:cs="Arial"/>
          <w:sz w:val="24"/>
          <w:szCs w:val="24"/>
        </w:rPr>
      </w:pPr>
      <w:r>
        <w:rPr>
          <w:rFonts w:ascii="Arial" w:hAnsi="Arial" w:cs="Arial"/>
          <w:sz w:val="24"/>
          <w:szCs w:val="24"/>
        </w:rPr>
        <w:t>BNPP’s appraisal in their Appendix 5 indicates that, in t</w:t>
      </w:r>
      <w:r w:rsidR="0008786B">
        <w:rPr>
          <w:rFonts w:ascii="Arial" w:hAnsi="Arial" w:cs="Arial"/>
          <w:sz w:val="24"/>
          <w:szCs w:val="24"/>
        </w:rPr>
        <w:t>heir</w:t>
      </w:r>
      <w:r>
        <w:rPr>
          <w:rFonts w:ascii="Arial" w:hAnsi="Arial" w:cs="Arial"/>
          <w:sz w:val="24"/>
          <w:szCs w:val="24"/>
        </w:rPr>
        <w:t xml:space="preserve"> opinion, the Appeal Scheme currently drives a viability surplus of around</w:t>
      </w:r>
      <w:r w:rsidR="0008786B">
        <w:rPr>
          <w:rFonts w:ascii="Arial" w:hAnsi="Arial" w:cs="Arial"/>
          <w:sz w:val="24"/>
          <w:szCs w:val="24"/>
        </w:rPr>
        <w:t xml:space="preserve"> £</w:t>
      </w:r>
      <w:r>
        <w:rPr>
          <w:rFonts w:ascii="Arial" w:hAnsi="Arial" w:cs="Arial"/>
          <w:sz w:val="24"/>
          <w:szCs w:val="24"/>
        </w:rPr>
        <w:t>890,000 because it drives a residual land value of £6,777,758 compared to an agreed BLV of £5,890,000. However, their appraisal relies upon a substantially over-valued hostel element (based upon a</w:t>
      </w:r>
      <w:r w:rsidR="0008786B">
        <w:rPr>
          <w:rFonts w:ascii="Arial" w:hAnsi="Arial" w:cs="Arial"/>
          <w:sz w:val="24"/>
          <w:szCs w:val="24"/>
        </w:rPr>
        <w:t xml:space="preserve"> gross rent which is circa double what Rapleys and I consider reasonable) and build costs which appear too low.</w:t>
      </w:r>
    </w:p>
    <w:p w:rsidR="00FB43CD" w:rsidRDefault="00FB43CD">
      <w:pPr>
        <w:rPr>
          <w:rFonts w:ascii="Arial" w:hAnsi="Arial" w:cs="Arial"/>
          <w:b/>
          <w:sz w:val="24"/>
          <w:szCs w:val="24"/>
        </w:rPr>
      </w:pPr>
      <w:r>
        <w:rPr>
          <w:rFonts w:ascii="Arial" w:hAnsi="Arial" w:cs="Arial"/>
          <w:b/>
          <w:sz w:val="24"/>
          <w:szCs w:val="24"/>
        </w:rPr>
        <w:br w:type="page"/>
      </w:r>
    </w:p>
    <w:p w:rsidR="00D26DCA" w:rsidRPr="00D26DCA" w:rsidRDefault="00D26DCA" w:rsidP="00D26DCA">
      <w:pPr>
        <w:spacing w:after="0" w:line="480" w:lineRule="auto"/>
        <w:ind w:left="142" w:hanging="709"/>
        <w:jc w:val="both"/>
        <w:rPr>
          <w:rFonts w:ascii="Arial" w:hAnsi="Arial" w:cs="Arial"/>
          <w:b/>
          <w:sz w:val="24"/>
          <w:szCs w:val="24"/>
        </w:rPr>
      </w:pPr>
      <w:r w:rsidRPr="00D26DCA">
        <w:rPr>
          <w:rFonts w:ascii="Arial" w:hAnsi="Arial" w:cs="Arial"/>
          <w:b/>
          <w:sz w:val="24"/>
          <w:szCs w:val="24"/>
        </w:rPr>
        <w:t>6.0</w:t>
      </w:r>
      <w:r w:rsidRPr="00D26DCA">
        <w:rPr>
          <w:rFonts w:ascii="Arial" w:hAnsi="Arial" w:cs="Arial"/>
          <w:b/>
          <w:sz w:val="24"/>
          <w:szCs w:val="24"/>
        </w:rPr>
        <w:tab/>
        <w:t>Conclusion:-</w:t>
      </w:r>
    </w:p>
    <w:p w:rsidR="00244242" w:rsidRDefault="00244242" w:rsidP="00244242">
      <w:pPr>
        <w:spacing w:after="0" w:line="480" w:lineRule="auto"/>
        <w:ind w:left="142" w:hanging="709"/>
        <w:jc w:val="both"/>
        <w:rPr>
          <w:rFonts w:ascii="Arial" w:hAnsi="Arial" w:cs="Arial"/>
          <w:sz w:val="24"/>
          <w:szCs w:val="24"/>
        </w:rPr>
      </w:pPr>
      <w:r>
        <w:rPr>
          <w:rFonts w:ascii="Arial" w:hAnsi="Arial" w:cs="Arial"/>
          <w:sz w:val="24"/>
          <w:szCs w:val="24"/>
        </w:rPr>
        <w:t>6.1</w:t>
      </w:r>
      <w:r>
        <w:rPr>
          <w:rFonts w:ascii="Arial" w:hAnsi="Arial" w:cs="Arial"/>
          <w:sz w:val="24"/>
          <w:szCs w:val="24"/>
        </w:rPr>
        <w:tab/>
        <w:t>In conclusion:-</w:t>
      </w:r>
    </w:p>
    <w:p w:rsidR="00244242" w:rsidRPr="00244242" w:rsidRDefault="00244242" w:rsidP="00E5632E">
      <w:pPr>
        <w:pStyle w:val="ListParagraph"/>
        <w:numPr>
          <w:ilvl w:val="0"/>
          <w:numId w:val="4"/>
        </w:numPr>
        <w:spacing w:after="0" w:line="480" w:lineRule="auto"/>
        <w:jc w:val="both"/>
        <w:rPr>
          <w:rFonts w:ascii="Arial" w:hAnsi="Arial" w:cs="Arial"/>
          <w:sz w:val="24"/>
          <w:szCs w:val="24"/>
        </w:rPr>
      </w:pPr>
      <w:r w:rsidRPr="00244242">
        <w:rPr>
          <w:rFonts w:ascii="Arial" w:hAnsi="Arial" w:cs="Arial"/>
          <w:sz w:val="24"/>
          <w:szCs w:val="24"/>
        </w:rPr>
        <w:t>BNPP have over-stated the achievable gross rent and GDV contribution of the hostel element of the Appeal Scheme.</w:t>
      </w:r>
    </w:p>
    <w:p w:rsidR="00244242" w:rsidRPr="00244242" w:rsidRDefault="00244242" w:rsidP="00E5632E">
      <w:pPr>
        <w:pStyle w:val="ListParagraph"/>
        <w:numPr>
          <w:ilvl w:val="0"/>
          <w:numId w:val="4"/>
        </w:numPr>
        <w:spacing w:after="0" w:line="480" w:lineRule="auto"/>
        <w:jc w:val="both"/>
        <w:rPr>
          <w:rFonts w:ascii="Arial" w:hAnsi="Arial" w:cs="Arial"/>
          <w:sz w:val="24"/>
          <w:szCs w:val="24"/>
        </w:rPr>
      </w:pPr>
      <w:r w:rsidRPr="00244242">
        <w:rPr>
          <w:rFonts w:ascii="Arial" w:hAnsi="Arial" w:cs="Arial"/>
          <w:sz w:val="24"/>
          <w:szCs w:val="24"/>
        </w:rPr>
        <w:t>BNPP also appear to have under-stated build costs.</w:t>
      </w:r>
    </w:p>
    <w:p w:rsidR="00244242" w:rsidRPr="00244242" w:rsidRDefault="00244242" w:rsidP="00E5632E">
      <w:pPr>
        <w:pStyle w:val="ListParagraph"/>
        <w:numPr>
          <w:ilvl w:val="0"/>
          <w:numId w:val="4"/>
        </w:numPr>
        <w:spacing w:after="0" w:line="480" w:lineRule="auto"/>
        <w:jc w:val="both"/>
        <w:rPr>
          <w:rFonts w:ascii="Arial" w:hAnsi="Arial" w:cs="Arial"/>
          <w:sz w:val="24"/>
          <w:szCs w:val="24"/>
        </w:rPr>
      </w:pPr>
      <w:r w:rsidRPr="00244242">
        <w:rPr>
          <w:rFonts w:ascii="Arial" w:hAnsi="Arial" w:cs="Arial"/>
          <w:sz w:val="24"/>
          <w:szCs w:val="24"/>
        </w:rPr>
        <w:t xml:space="preserve">BNPP’s appraisal (see Appendix 5 to their report dated 27/7/2020) suggests that a viability surplus of around £890,000 exists based upon their Scenario D but this relies upon an </w:t>
      </w:r>
      <w:r w:rsidR="00CB22CA">
        <w:rPr>
          <w:rFonts w:ascii="Arial" w:hAnsi="Arial" w:cs="Arial"/>
          <w:sz w:val="24"/>
          <w:szCs w:val="24"/>
        </w:rPr>
        <w:t xml:space="preserve">excessive GDV (i.e. by about </w:t>
      </w:r>
      <w:r w:rsidRPr="00244242">
        <w:rPr>
          <w:rFonts w:ascii="Arial" w:hAnsi="Arial" w:cs="Arial"/>
          <w:sz w:val="24"/>
          <w:szCs w:val="24"/>
        </w:rPr>
        <w:t xml:space="preserve">£5.61m </w:t>
      </w:r>
      <w:r w:rsidR="00CB22CA">
        <w:rPr>
          <w:rFonts w:ascii="Arial" w:hAnsi="Arial" w:cs="Arial"/>
          <w:sz w:val="24"/>
          <w:szCs w:val="24"/>
        </w:rPr>
        <w:t xml:space="preserve">in connection with an over-valuation of the hostel element and an inappropriate valuation ascribed to potential F&amp;B) </w:t>
      </w:r>
      <w:r w:rsidRPr="00244242">
        <w:rPr>
          <w:rFonts w:ascii="Arial" w:hAnsi="Arial" w:cs="Arial"/>
          <w:sz w:val="24"/>
          <w:szCs w:val="24"/>
        </w:rPr>
        <w:t>and a build cost assumption which appears to be about £1.25m too low. C</w:t>
      </w:r>
      <w:r w:rsidR="00FB43CD">
        <w:rPr>
          <w:rFonts w:ascii="Arial" w:hAnsi="Arial" w:cs="Arial"/>
          <w:sz w:val="24"/>
          <w:szCs w:val="24"/>
        </w:rPr>
        <w:t>orrecting these tw</w:t>
      </w:r>
      <w:r w:rsidRPr="00244242">
        <w:rPr>
          <w:rFonts w:ascii="Arial" w:hAnsi="Arial" w:cs="Arial"/>
          <w:sz w:val="24"/>
          <w:szCs w:val="24"/>
        </w:rPr>
        <w:t>o items would confirm a significant viability shortfall.</w:t>
      </w:r>
    </w:p>
    <w:p w:rsidR="00244242" w:rsidRPr="00244242" w:rsidRDefault="00244242" w:rsidP="00E5632E">
      <w:pPr>
        <w:pStyle w:val="ListParagraph"/>
        <w:numPr>
          <w:ilvl w:val="0"/>
          <w:numId w:val="4"/>
        </w:numPr>
        <w:spacing w:after="0" w:line="480" w:lineRule="auto"/>
        <w:jc w:val="both"/>
        <w:rPr>
          <w:rFonts w:ascii="Arial" w:hAnsi="Arial" w:cs="Arial"/>
          <w:sz w:val="24"/>
          <w:szCs w:val="24"/>
        </w:rPr>
      </w:pPr>
      <w:r w:rsidRPr="00244242">
        <w:rPr>
          <w:rFonts w:ascii="Arial" w:hAnsi="Arial" w:cs="Arial"/>
          <w:sz w:val="24"/>
          <w:szCs w:val="24"/>
        </w:rPr>
        <w:t xml:space="preserve">I stand-by my residual profit appraisal as present in Appendix 1 to my ‘Review of Comments’ dated 16/6/2020 (see </w:t>
      </w:r>
      <w:r w:rsidRPr="00244242">
        <w:rPr>
          <w:rFonts w:ascii="Arial" w:hAnsi="Arial" w:cs="Arial"/>
          <w:b/>
          <w:sz w:val="24"/>
          <w:szCs w:val="24"/>
        </w:rPr>
        <w:t xml:space="preserve">Appendix </w:t>
      </w:r>
      <w:r w:rsidR="00D17893">
        <w:rPr>
          <w:rFonts w:ascii="Arial" w:hAnsi="Arial" w:cs="Arial"/>
          <w:b/>
          <w:sz w:val="24"/>
          <w:szCs w:val="24"/>
        </w:rPr>
        <w:t>B</w:t>
      </w:r>
      <w:r w:rsidRPr="00244242">
        <w:rPr>
          <w:rFonts w:ascii="Arial" w:hAnsi="Arial" w:cs="Arial"/>
          <w:sz w:val="24"/>
          <w:szCs w:val="24"/>
        </w:rPr>
        <w:t>).</w:t>
      </w:r>
    </w:p>
    <w:p w:rsidR="00244242" w:rsidRPr="00244242" w:rsidRDefault="00244242" w:rsidP="00E5632E">
      <w:pPr>
        <w:pStyle w:val="ListParagraph"/>
        <w:numPr>
          <w:ilvl w:val="0"/>
          <w:numId w:val="4"/>
        </w:numPr>
        <w:spacing w:after="0" w:line="480" w:lineRule="auto"/>
        <w:jc w:val="both"/>
        <w:rPr>
          <w:rFonts w:ascii="Arial" w:hAnsi="Arial" w:cs="Arial"/>
          <w:sz w:val="24"/>
          <w:szCs w:val="24"/>
        </w:rPr>
      </w:pPr>
      <w:r w:rsidRPr="00244242">
        <w:rPr>
          <w:rFonts w:ascii="Arial" w:hAnsi="Arial" w:cs="Arial"/>
          <w:sz w:val="24"/>
          <w:szCs w:val="24"/>
        </w:rPr>
        <w:t>The Appeal Scheme already provides more than the maximum policy based affordable housing provision ‘naturally’</w:t>
      </w:r>
      <w:r w:rsidR="00FB43CD">
        <w:rPr>
          <w:rFonts w:ascii="Arial" w:hAnsi="Arial" w:cs="Arial"/>
          <w:sz w:val="24"/>
          <w:szCs w:val="24"/>
        </w:rPr>
        <w:t xml:space="preserve"> and th</w:t>
      </w:r>
      <w:r w:rsidRPr="00244242">
        <w:rPr>
          <w:rFonts w:ascii="Arial" w:hAnsi="Arial" w:cs="Arial"/>
          <w:sz w:val="24"/>
          <w:szCs w:val="24"/>
        </w:rPr>
        <w:t>e imposition of any formal affordable housing restrictions/conditions would be prejudicial to fundability and deliverability.</w:t>
      </w:r>
    </w:p>
    <w:p w:rsidR="00FB43CD" w:rsidRDefault="00FB43C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333D7A" w:rsidRPr="00AA1EE4" w:rsidRDefault="00FB43CD" w:rsidP="00333D7A">
      <w:pPr>
        <w:spacing w:after="0" w:line="480" w:lineRule="auto"/>
        <w:ind w:left="142" w:hanging="709"/>
        <w:contextualSpacing/>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7</w:t>
      </w:r>
      <w:r w:rsidR="00333D7A" w:rsidRPr="00AA1EE4">
        <w:rPr>
          <w:rFonts w:ascii="Arial" w:eastAsia="Times New Roman" w:hAnsi="Arial" w:cs="Arial"/>
          <w:b/>
          <w:color w:val="000000"/>
          <w:sz w:val="24"/>
          <w:szCs w:val="24"/>
          <w:lang w:eastAsia="en-GB"/>
        </w:rPr>
        <w:t>.0</w:t>
      </w:r>
      <w:r w:rsidR="00333D7A" w:rsidRPr="00AA1EE4">
        <w:rPr>
          <w:rFonts w:ascii="Arial" w:eastAsia="Times New Roman" w:hAnsi="Arial" w:cs="Arial"/>
          <w:b/>
          <w:color w:val="000000"/>
          <w:sz w:val="24"/>
          <w:szCs w:val="24"/>
          <w:lang w:eastAsia="en-GB"/>
        </w:rPr>
        <w:tab/>
        <w:t>Statement of Truth &amp; Declaration:-</w:t>
      </w:r>
    </w:p>
    <w:p w:rsidR="00333D7A" w:rsidRPr="00AA1EE4" w:rsidRDefault="00FB43CD" w:rsidP="00333D7A">
      <w:pPr>
        <w:spacing w:after="0" w:line="480" w:lineRule="auto"/>
        <w:ind w:left="142" w:hanging="709"/>
        <w:jc w:val="both"/>
        <w:rPr>
          <w:rFonts w:ascii="Arial" w:eastAsia="Times New Roman" w:hAnsi="Arial" w:cs="Arial"/>
          <w:b/>
          <w:color w:val="000000"/>
          <w:sz w:val="24"/>
          <w:szCs w:val="24"/>
          <w:lang w:eastAsia="en-GB"/>
        </w:rPr>
      </w:pPr>
      <w:r>
        <w:rPr>
          <w:rFonts w:ascii="Arial" w:hAnsi="Arial" w:cs="Arial"/>
          <w:b/>
          <w:sz w:val="24"/>
          <w:szCs w:val="24"/>
        </w:rPr>
        <w:t>7</w:t>
      </w:r>
      <w:r w:rsidR="00333D7A" w:rsidRPr="00AA1EE4">
        <w:rPr>
          <w:rFonts w:ascii="Arial" w:hAnsi="Arial" w:cs="Arial"/>
          <w:b/>
          <w:sz w:val="24"/>
          <w:szCs w:val="24"/>
        </w:rPr>
        <w:t>.1</w:t>
      </w:r>
      <w:r w:rsidR="00333D7A" w:rsidRPr="00AA1EE4">
        <w:rPr>
          <w:rFonts w:ascii="Arial" w:eastAsia="Times New Roman" w:hAnsi="Arial" w:cs="Arial"/>
          <w:b/>
          <w:color w:val="000000"/>
          <w:sz w:val="24"/>
          <w:szCs w:val="24"/>
          <w:lang w:eastAsia="en-GB"/>
        </w:rPr>
        <w:tab/>
        <w:t>Statement of Truth:-</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.1.1</w:t>
      </w:r>
      <w:r w:rsidR="00333D7A" w:rsidRPr="00AA1EE4">
        <w:rPr>
          <w:rFonts w:ascii="Arial" w:eastAsia="Times New Roman" w:hAnsi="Arial" w:cs="Arial"/>
          <w:color w:val="000000"/>
          <w:sz w:val="24"/>
          <w:szCs w:val="24"/>
          <w:lang w:eastAsia="en-GB"/>
        </w:rPr>
        <w:tab/>
        <w:t>I confirm that I have made clear which facts and matters referred to in this Rebuttal are within my own knowledge and which are not. Those that are within my knowledge I confirm to be true. The opinions I have expressed represent my true and complete professional opinions on the matters to which they refer.</w:t>
      </w:r>
    </w:p>
    <w:p w:rsidR="00333D7A" w:rsidRPr="00AA1EE4" w:rsidRDefault="00FB43CD" w:rsidP="00333D7A">
      <w:pPr>
        <w:spacing w:after="0" w:line="480" w:lineRule="auto"/>
        <w:ind w:left="142" w:hanging="709"/>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7</w:t>
      </w:r>
      <w:r w:rsidR="00333D7A" w:rsidRPr="00AA1EE4">
        <w:rPr>
          <w:rFonts w:ascii="Arial" w:eastAsia="Times New Roman" w:hAnsi="Arial" w:cs="Arial"/>
          <w:b/>
          <w:color w:val="000000"/>
          <w:sz w:val="24"/>
          <w:szCs w:val="24"/>
          <w:lang w:eastAsia="en-GB"/>
        </w:rPr>
        <w:t>.2</w:t>
      </w:r>
      <w:r w:rsidR="00333D7A" w:rsidRPr="00AA1EE4">
        <w:rPr>
          <w:rFonts w:ascii="Arial" w:eastAsia="Times New Roman" w:hAnsi="Arial" w:cs="Arial"/>
          <w:b/>
          <w:color w:val="000000"/>
          <w:sz w:val="24"/>
          <w:szCs w:val="24"/>
          <w:lang w:eastAsia="en-GB"/>
        </w:rPr>
        <w:tab/>
        <w:t>Declaration:-</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2.1</w:t>
      </w:r>
      <w:r w:rsidR="00333D7A" w:rsidRPr="00AA1EE4">
        <w:rPr>
          <w:rFonts w:ascii="Arial" w:eastAsia="Times New Roman" w:hAnsi="Arial" w:cs="Arial"/>
          <w:color w:val="000000"/>
          <w:sz w:val="24"/>
          <w:szCs w:val="24"/>
          <w:lang w:eastAsia="en-GB"/>
        </w:rPr>
        <w:tab/>
        <w:t xml:space="preserve">I confirm that </w:t>
      </w:r>
      <w:r w:rsidR="001431A1">
        <w:rPr>
          <w:rFonts w:ascii="Arial" w:eastAsia="Times New Roman" w:hAnsi="Arial" w:cs="Arial"/>
          <w:color w:val="000000"/>
          <w:sz w:val="24"/>
          <w:szCs w:val="24"/>
          <w:lang w:eastAsia="en-GB"/>
        </w:rPr>
        <w:t>I</w:t>
      </w:r>
      <w:r w:rsidR="00333D7A" w:rsidRPr="00AA1EE4">
        <w:rPr>
          <w:rFonts w:ascii="Arial" w:eastAsia="Times New Roman" w:hAnsi="Arial" w:cs="Arial"/>
          <w:color w:val="000000"/>
          <w:sz w:val="24"/>
          <w:szCs w:val="24"/>
          <w:lang w:eastAsia="en-GB"/>
        </w:rPr>
        <w:t xml:space="preserve"> have drawn attention to all material facts which are relevant and have affected my professional opinion.</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.2.2</w:t>
      </w:r>
      <w:r w:rsidR="00333D7A" w:rsidRPr="00AA1EE4">
        <w:rPr>
          <w:rFonts w:ascii="Arial" w:eastAsia="Times New Roman" w:hAnsi="Arial" w:cs="Arial"/>
          <w:color w:val="000000"/>
          <w:sz w:val="24"/>
          <w:szCs w:val="24"/>
          <w:lang w:eastAsia="en-GB"/>
        </w:rPr>
        <w:tab/>
        <w:t>I confirm that I understand and have complied with my duty as an expert witness which overrides any duty to those instructing or paying me, that I have given evidence impartially and objectively, and that I will continue to comply with that duty as required.</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.2.3</w:t>
      </w:r>
      <w:r w:rsidR="00333D7A" w:rsidRPr="00AA1EE4">
        <w:rPr>
          <w:rFonts w:ascii="Arial" w:eastAsia="Times New Roman" w:hAnsi="Arial" w:cs="Arial"/>
          <w:color w:val="000000"/>
          <w:sz w:val="24"/>
          <w:szCs w:val="24"/>
          <w:lang w:eastAsia="en-GB"/>
        </w:rPr>
        <w:tab/>
        <w:t>I confirm that I am not instructed under any conditional or other success-based fee arrangement.</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.2.4</w:t>
      </w:r>
      <w:r w:rsidR="00333D7A" w:rsidRPr="00AA1EE4">
        <w:rPr>
          <w:rFonts w:ascii="Arial" w:eastAsia="Times New Roman" w:hAnsi="Arial" w:cs="Arial"/>
          <w:color w:val="000000"/>
          <w:sz w:val="24"/>
          <w:szCs w:val="24"/>
          <w:lang w:eastAsia="en-GB"/>
        </w:rPr>
        <w:tab/>
        <w:t>I confirm that I have no conflicts of interest.</w:t>
      </w:r>
    </w:p>
    <w:p w:rsidR="00333D7A" w:rsidRPr="00AA1EE4" w:rsidRDefault="00FB43CD" w:rsidP="00333D7A">
      <w:pPr>
        <w:spacing w:after="0" w:line="480" w:lineRule="auto"/>
        <w:ind w:left="142" w:hanging="709"/>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r w:rsidR="00333D7A" w:rsidRPr="00AA1EE4">
        <w:rPr>
          <w:rFonts w:ascii="Arial" w:eastAsia="Times New Roman" w:hAnsi="Arial" w:cs="Arial"/>
          <w:color w:val="000000"/>
          <w:sz w:val="24"/>
          <w:szCs w:val="24"/>
          <w:lang w:eastAsia="en-GB"/>
        </w:rPr>
        <w:t>.2.5</w:t>
      </w:r>
      <w:r w:rsidR="00333D7A" w:rsidRPr="00AA1EE4">
        <w:rPr>
          <w:rFonts w:ascii="Arial" w:eastAsia="Times New Roman" w:hAnsi="Arial" w:cs="Arial"/>
          <w:color w:val="000000"/>
          <w:sz w:val="24"/>
          <w:szCs w:val="24"/>
          <w:lang w:eastAsia="en-GB"/>
        </w:rPr>
        <w:tab/>
        <w:t xml:space="preserve">I confirm that my </w:t>
      </w:r>
      <w:r w:rsidR="001431A1">
        <w:rPr>
          <w:rFonts w:ascii="Arial" w:eastAsia="Times New Roman" w:hAnsi="Arial" w:cs="Arial"/>
          <w:color w:val="000000"/>
          <w:sz w:val="24"/>
          <w:szCs w:val="24"/>
          <w:lang w:eastAsia="en-GB"/>
        </w:rPr>
        <w:t>opinion</w:t>
      </w:r>
      <w:r w:rsidR="00333D7A" w:rsidRPr="00AA1EE4">
        <w:rPr>
          <w:rFonts w:ascii="Arial" w:eastAsia="Times New Roman" w:hAnsi="Arial" w:cs="Arial"/>
          <w:color w:val="000000"/>
          <w:sz w:val="24"/>
          <w:szCs w:val="24"/>
          <w:lang w:eastAsia="en-GB"/>
        </w:rPr>
        <w:t xml:space="preserve"> complies with the requirements of the RICS – Royal Institution of Chartered Surveyors, as set down in the RICS practice statement ‘Surveyors Acting as Expert Witnesses’.</w:t>
      </w:r>
    </w:p>
    <w:p w:rsidR="00333D7A" w:rsidRPr="00AA1EE4" w:rsidRDefault="00333D7A" w:rsidP="00333D7A">
      <w:pPr>
        <w:spacing w:after="0" w:line="480" w:lineRule="auto"/>
        <w:ind w:left="142" w:hanging="709"/>
        <w:contextualSpacing/>
        <w:jc w:val="both"/>
        <w:rPr>
          <w:rFonts w:ascii="Arial" w:eastAsia="Times New Roman" w:hAnsi="Arial" w:cs="Arial"/>
          <w:b/>
          <w:color w:val="000000"/>
          <w:sz w:val="24"/>
          <w:szCs w:val="24"/>
          <w:lang w:eastAsia="en-GB"/>
        </w:rPr>
      </w:pPr>
    </w:p>
    <w:p w:rsidR="00333D7A" w:rsidRPr="00AA1EE4" w:rsidRDefault="00333D7A" w:rsidP="00B6660F">
      <w:pPr>
        <w:spacing w:after="0" w:line="480" w:lineRule="auto"/>
        <w:ind w:left="142" w:hanging="709"/>
        <w:contextualSpacing/>
        <w:jc w:val="both"/>
        <w:rPr>
          <w:rFonts w:ascii="Arial" w:eastAsia="Times New Roman" w:hAnsi="Arial" w:cs="Arial"/>
          <w:b/>
          <w:color w:val="000000"/>
          <w:sz w:val="24"/>
          <w:szCs w:val="24"/>
          <w:lang w:eastAsia="en-GB"/>
        </w:rPr>
      </w:pPr>
    </w:p>
    <w:sectPr w:rsidR="00333D7A" w:rsidRPr="00AA1EE4" w:rsidSect="00083B1B">
      <w:headerReference w:type="default" r:id="rId13"/>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E1" w:rsidRDefault="00E00FE1" w:rsidP="0022202E">
      <w:pPr>
        <w:spacing w:after="0" w:line="240" w:lineRule="auto"/>
      </w:pPr>
      <w:r>
        <w:separator/>
      </w:r>
    </w:p>
  </w:endnote>
  <w:endnote w:type="continuationSeparator" w:id="0">
    <w:p w:rsidR="00E00FE1" w:rsidRDefault="00E00FE1" w:rsidP="0022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E1" w:rsidRDefault="00E00FE1" w:rsidP="0022202E">
      <w:pPr>
        <w:spacing w:after="0" w:line="240" w:lineRule="auto"/>
      </w:pPr>
      <w:r>
        <w:separator/>
      </w:r>
    </w:p>
  </w:footnote>
  <w:footnote w:type="continuationSeparator" w:id="0">
    <w:p w:rsidR="00E00FE1" w:rsidRDefault="00E00FE1" w:rsidP="0022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42684619"/>
      <w:docPartObj>
        <w:docPartGallery w:val="Page Numbers (Top of Page)"/>
        <w:docPartUnique/>
      </w:docPartObj>
    </w:sdtPr>
    <w:sdtEndPr>
      <w:rPr>
        <w:b/>
        <w:bCs/>
        <w:noProof/>
        <w:color w:val="auto"/>
        <w:spacing w:val="0"/>
      </w:rPr>
    </w:sdtEndPr>
    <w:sdtContent>
      <w:p w:rsidR="0081385C" w:rsidRDefault="008138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37A82" w:rsidRPr="00637A82">
          <w:rPr>
            <w:b/>
            <w:bCs/>
            <w:noProof/>
          </w:rPr>
          <w:t>6</w:t>
        </w:r>
        <w:r>
          <w:rPr>
            <w:b/>
            <w:bCs/>
            <w:noProof/>
          </w:rPr>
          <w:fldChar w:fldCharType="end"/>
        </w:r>
      </w:p>
    </w:sdtContent>
  </w:sdt>
  <w:p w:rsidR="0081385C" w:rsidRDefault="0081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245C"/>
    <w:multiLevelType w:val="hybridMultilevel"/>
    <w:tmpl w:val="301267B8"/>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3852AF5"/>
    <w:multiLevelType w:val="hybridMultilevel"/>
    <w:tmpl w:val="CAC0A4BA"/>
    <w:lvl w:ilvl="0" w:tplc="08090017">
      <w:start w:val="1"/>
      <w:numFmt w:val="lowerLetter"/>
      <w:lvlText w:val="%1)"/>
      <w:lvlJc w:val="left"/>
      <w:pPr>
        <w:ind w:left="862" w:hanging="360"/>
      </w:pPr>
      <w:rPr>
        <w:rFonts w:hint="default"/>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63944BD"/>
    <w:multiLevelType w:val="hybridMultilevel"/>
    <w:tmpl w:val="8046629C"/>
    <w:lvl w:ilvl="0" w:tplc="7368D450">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B0375"/>
    <w:multiLevelType w:val="hybridMultilevel"/>
    <w:tmpl w:val="8BF24D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07"/>
    <w:rsid w:val="00002834"/>
    <w:rsid w:val="000040EE"/>
    <w:rsid w:val="000042E2"/>
    <w:rsid w:val="000073E1"/>
    <w:rsid w:val="00012645"/>
    <w:rsid w:val="0001527B"/>
    <w:rsid w:val="00021018"/>
    <w:rsid w:val="000233C6"/>
    <w:rsid w:val="0002553B"/>
    <w:rsid w:val="00025977"/>
    <w:rsid w:val="00026672"/>
    <w:rsid w:val="00035F60"/>
    <w:rsid w:val="00036C23"/>
    <w:rsid w:val="000415BC"/>
    <w:rsid w:val="000419BA"/>
    <w:rsid w:val="0004463E"/>
    <w:rsid w:val="00045C53"/>
    <w:rsid w:val="00046A91"/>
    <w:rsid w:val="0004734C"/>
    <w:rsid w:val="00050E43"/>
    <w:rsid w:val="00054F57"/>
    <w:rsid w:val="00055ED5"/>
    <w:rsid w:val="00056C42"/>
    <w:rsid w:val="00064A3C"/>
    <w:rsid w:val="00073148"/>
    <w:rsid w:val="00080AE3"/>
    <w:rsid w:val="00080E2D"/>
    <w:rsid w:val="00083B1B"/>
    <w:rsid w:val="00084230"/>
    <w:rsid w:val="0008786B"/>
    <w:rsid w:val="00087A14"/>
    <w:rsid w:val="00090E32"/>
    <w:rsid w:val="0009435B"/>
    <w:rsid w:val="00094F11"/>
    <w:rsid w:val="00095B65"/>
    <w:rsid w:val="0009720C"/>
    <w:rsid w:val="00097BF5"/>
    <w:rsid w:val="000A4074"/>
    <w:rsid w:val="000A5692"/>
    <w:rsid w:val="000A673A"/>
    <w:rsid w:val="000A780A"/>
    <w:rsid w:val="000B2183"/>
    <w:rsid w:val="000B2AF0"/>
    <w:rsid w:val="000B2F7D"/>
    <w:rsid w:val="000C2A2B"/>
    <w:rsid w:val="000C4A63"/>
    <w:rsid w:val="000C6F0B"/>
    <w:rsid w:val="000C7E07"/>
    <w:rsid w:val="000D787C"/>
    <w:rsid w:val="000E00DE"/>
    <w:rsid w:val="000E20A3"/>
    <w:rsid w:val="000E40C1"/>
    <w:rsid w:val="000E607C"/>
    <w:rsid w:val="000F14F8"/>
    <w:rsid w:val="000F3605"/>
    <w:rsid w:val="000F6BB3"/>
    <w:rsid w:val="000F6CAB"/>
    <w:rsid w:val="00100565"/>
    <w:rsid w:val="00102960"/>
    <w:rsid w:val="00103944"/>
    <w:rsid w:val="00113FD8"/>
    <w:rsid w:val="00117174"/>
    <w:rsid w:val="00121924"/>
    <w:rsid w:val="00122756"/>
    <w:rsid w:val="00126884"/>
    <w:rsid w:val="001317B3"/>
    <w:rsid w:val="0013200F"/>
    <w:rsid w:val="00132067"/>
    <w:rsid w:val="00132ABD"/>
    <w:rsid w:val="0013369B"/>
    <w:rsid w:val="00136AAD"/>
    <w:rsid w:val="001427D6"/>
    <w:rsid w:val="001431A1"/>
    <w:rsid w:val="00143BF6"/>
    <w:rsid w:val="00144A61"/>
    <w:rsid w:val="0014622C"/>
    <w:rsid w:val="00146389"/>
    <w:rsid w:val="0014720D"/>
    <w:rsid w:val="00152D3E"/>
    <w:rsid w:val="00153283"/>
    <w:rsid w:val="00155E3D"/>
    <w:rsid w:val="00155F01"/>
    <w:rsid w:val="00164257"/>
    <w:rsid w:val="00165AD8"/>
    <w:rsid w:val="00176431"/>
    <w:rsid w:val="00176898"/>
    <w:rsid w:val="00185EEE"/>
    <w:rsid w:val="00186A71"/>
    <w:rsid w:val="001875B0"/>
    <w:rsid w:val="00187B0F"/>
    <w:rsid w:val="00190B7F"/>
    <w:rsid w:val="00193ABD"/>
    <w:rsid w:val="00196AB6"/>
    <w:rsid w:val="001A0700"/>
    <w:rsid w:val="001A1EAF"/>
    <w:rsid w:val="001A280A"/>
    <w:rsid w:val="001A2CB7"/>
    <w:rsid w:val="001A2D4A"/>
    <w:rsid w:val="001A5DE3"/>
    <w:rsid w:val="001A642C"/>
    <w:rsid w:val="001B0133"/>
    <w:rsid w:val="001B69C9"/>
    <w:rsid w:val="001C3DF3"/>
    <w:rsid w:val="001C482C"/>
    <w:rsid w:val="001D48DC"/>
    <w:rsid w:val="001D725A"/>
    <w:rsid w:val="001E0841"/>
    <w:rsid w:val="001E16BD"/>
    <w:rsid w:val="001E310D"/>
    <w:rsid w:val="001E4881"/>
    <w:rsid w:val="001F6519"/>
    <w:rsid w:val="001F7E3B"/>
    <w:rsid w:val="00201537"/>
    <w:rsid w:val="00202C31"/>
    <w:rsid w:val="00206013"/>
    <w:rsid w:val="00210D93"/>
    <w:rsid w:val="002111A7"/>
    <w:rsid w:val="002120F2"/>
    <w:rsid w:val="002176D1"/>
    <w:rsid w:val="00217D4D"/>
    <w:rsid w:val="00220037"/>
    <w:rsid w:val="00220658"/>
    <w:rsid w:val="0022202E"/>
    <w:rsid w:val="002269D1"/>
    <w:rsid w:val="00234E74"/>
    <w:rsid w:val="00235B1C"/>
    <w:rsid w:val="00241242"/>
    <w:rsid w:val="002421E4"/>
    <w:rsid w:val="002426F7"/>
    <w:rsid w:val="00244242"/>
    <w:rsid w:val="0024649C"/>
    <w:rsid w:val="00250D61"/>
    <w:rsid w:val="00253F95"/>
    <w:rsid w:val="002558D0"/>
    <w:rsid w:val="002561E5"/>
    <w:rsid w:val="00256AE4"/>
    <w:rsid w:val="00257F98"/>
    <w:rsid w:val="002600C4"/>
    <w:rsid w:val="00262C0F"/>
    <w:rsid w:val="00264741"/>
    <w:rsid w:val="00271A1E"/>
    <w:rsid w:val="00271C8B"/>
    <w:rsid w:val="002726FC"/>
    <w:rsid w:val="00274049"/>
    <w:rsid w:val="002744CF"/>
    <w:rsid w:val="00274D01"/>
    <w:rsid w:val="00275BA3"/>
    <w:rsid w:val="0028195A"/>
    <w:rsid w:val="002834A2"/>
    <w:rsid w:val="002926F3"/>
    <w:rsid w:val="0029321B"/>
    <w:rsid w:val="002A0E01"/>
    <w:rsid w:val="002A3C01"/>
    <w:rsid w:val="002A3E36"/>
    <w:rsid w:val="002B2EFC"/>
    <w:rsid w:val="002B2F05"/>
    <w:rsid w:val="002C32E6"/>
    <w:rsid w:val="002C4338"/>
    <w:rsid w:val="002C5348"/>
    <w:rsid w:val="002C7539"/>
    <w:rsid w:val="002D47A5"/>
    <w:rsid w:val="002E1E6B"/>
    <w:rsid w:val="002E39AA"/>
    <w:rsid w:val="002E410C"/>
    <w:rsid w:val="002E7A7A"/>
    <w:rsid w:val="002F4495"/>
    <w:rsid w:val="00300ECA"/>
    <w:rsid w:val="003016CF"/>
    <w:rsid w:val="003033BB"/>
    <w:rsid w:val="00307939"/>
    <w:rsid w:val="00310EE4"/>
    <w:rsid w:val="003133AE"/>
    <w:rsid w:val="0031486A"/>
    <w:rsid w:val="00315AA1"/>
    <w:rsid w:val="00320F10"/>
    <w:rsid w:val="003222C9"/>
    <w:rsid w:val="00333D7A"/>
    <w:rsid w:val="00333E63"/>
    <w:rsid w:val="0033481F"/>
    <w:rsid w:val="003356AF"/>
    <w:rsid w:val="003359F1"/>
    <w:rsid w:val="0034034A"/>
    <w:rsid w:val="00340D21"/>
    <w:rsid w:val="00346088"/>
    <w:rsid w:val="00355D3C"/>
    <w:rsid w:val="0035683E"/>
    <w:rsid w:val="003614D3"/>
    <w:rsid w:val="00362591"/>
    <w:rsid w:val="00362DA8"/>
    <w:rsid w:val="003633B9"/>
    <w:rsid w:val="00363614"/>
    <w:rsid w:val="0037121E"/>
    <w:rsid w:val="003733E0"/>
    <w:rsid w:val="00373AB9"/>
    <w:rsid w:val="00373C09"/>
    <w:rsid w:val="00377009"/>
    <w:rsid w:val="00377837"/>
    <w:rsid w:val="00377B8D"/>
    <w:rsid w:val="00381EC0"/>
    <w:rsid w:val="00383DB1"/>
    <w:rsid w:val="00393C10"/>
    <w:rsid w:val="003A0891"/>
    <w:rsid w:val="003A72FF"/>
    <w:rsid w:val="003A772F"/>
    <w:rsid w:val="003B0976"/>
    <w:rsid w:val="003B2333"/>
    <w:rsid w:val="003B7287"/>
    <w:rsid w:val="003C1078"/>
    <w:rsid w:val="003C223E"/>
    <w:rsid w:val="003C3717"/>
    <w:rsid w:val="003C6049"/>
    <w:rsid w:val="003D1B68"/>
    <w:rsid w:val="003D51BA"/>
    <w:rsid w:val="003D6B65"/>
    <w:rsid w:val="003E47D1"/>
    <w:rsid w:val="003E5B83"/>
    <w:rsid w:val="003E691C"/>
    <w:rsid w:val="003F0AAD"/>
    <w:rsid w:val="003F14DE"/>
    <w:rsid w:val="003F40FE"/>
    <w:rsid w:val="003F59C5"/>
    <w:rsid w:val="003F6569"/>
    <w:rsid w:val="00403CAE"/>
    <w:rsid w:val="00404AF4"/>
    <w:rsid w:val="00406635"/>
    <w:rsid w:val="00407768"/>
    <w:rsid w:val="00410110"/>
    <w:rsid w:val="00411604"/>
    <w:rsid w:val="00415547"/>
    <w:rsid w:val="00416C46"/>
    <w:rsid w:val="00416FF6"/>
    <w:rsid w:val="004207F5"/>
    <w:rsid w:val="00422278"/>
    <w:rsid w:val="00422A02"/>
    <w:rsid w:val="00426A93"/>
    <w:rsid w:val="0042730A"/>
    <w:rsid w:val="0043158B"/>
    <w:rsid w:val="00432FD4"/>
    <w:rsid w:val="00434648"/>
    <w:rsid w:val="004352CE"/>
    <w:rsid w:val="004366B4"/>
    <w:rsid w:val="0043691A"/>
    <w:rsid w:val="00445EF4"/>
    <w:rsid w:val="00447073"/>
    <w:rsid w:val="00450ED0"/>
    <w:rsid w:val="004516C6"/>
    <w:rsid w:val="00451D09"/>
    <w:rsid w:val="0046156C"/>
    <w:rsid w:val="0046475C"/>
    <w:rsid w:val="00467FBF"/>
    <w:rsid w:val="004822E3"/>
    <w:rsid w:val="004858F5"/>
    <w:rsid w:val="0048693B"/>
    <w:rsid w:val="0049433C"/>
    <w:rsid w:val="0049713E"/>
    <w:rsid w:val="004A467C"/>
    <w:rsid w:val="004A493F"/>
    <w:rsid w:val="004B3DB3"/>
    <w:rsid w:val="004B46DE"/>
    <w:rsid w:val="004B5AC2"/>
    <w:rsid w:val="004B747F"/>
    <w:rsid w:val="004B762A"/>
    <w:rsid w:val="004C27F1"/>
    <w:rsid w:val="004C32C8"/>
    <w:rsid w:val="004C7D97"/>
    <w:rsid w:val="004D63B5"/>
    <w:rsid w:val="004E21B3"/>
    <w:rsid w:val="004E2B76"/>
    <w:rsid w:val="004F0476"/>
    <w:rsid w:val="004F43A1"/>
    <w:rsid w:val="004F6197"/>
    <w:rsid w:val="004F70B3"/>
    <w:rsid w:val="004F756B"/>
    <w:rsid w:val="00501B3D"/>
    <w:rsid w:val="005024FD"/>
    <w:rsid w:val="005047EE"/>
    <w:rsid w:val="00506A04"/>
    <w:rsid w:val="00510634"/>
    <w:rsid w:val="00512071"/>
    <w:rsid w:val="00512666"/>
    <w:rsid w:val="00513CF1"/>
    <w:rsid w:val="00515660"/>
    <w:rsid w:val="005157D8"/>
    <w:rsid w:val="00516C22"/>
    <w:rsid w:val="005222AE"/>
    <w:rsid w:val="005227E0"/>
    <w:rsid w:val="00524B8D"/>
    <w:rsid w:val="00531618"/>
    <w:rsid w:val="00532B76"/>
    <w:rsid w:val="00533183"/>
    <w:rsid w:val="00535450"/>
    <w:rsid w:val="00536B8B"/>
    <w:rsid w:val="00540F7B"/>
    <w:rsid w:val="00542439"/>
    <w:rsid w:val="0054352B"/>
    <w:rsid w:val="005508FF"/>
    <w:rsid w:val="00551959"/>
    <w:rsid w:val="00551F9E"/>
    <w:rsid w:val="005523EB"/>
    <w:rsid w:val="00554502"/>
    <w:rsid w:val="0056252B"/>
    <w:rsid w:val="00563DD7"/>
    <w:rsid w:val="00565998"/>
    <w:rsid w:val="00565C86"/>
    <w:rsid w:val="0057157B"/>
    <w:rsid w:val="00572832"/>
    <w:rsid w:val="0057329E"/>
    <w:rsid w:val="00574E50"/>
    <w:rsid w:val="005753C3"/>
    <w:rsid w:val="00575521"/>
    <w:rsid w:val="005801D9"/>
    <w:rsid w:val="0058222A"/>
    <w:rsid w:val="00586BD9"/>
    <w:rsid w:val="00590075"/>
    <w:rsid w:val="00590333"/>
    <w:rsid w:val="00592018"/>
    <w:rsid w:val="00592162"/>
    <w:rsid w:val="005949BF"/>
    <w:rsid w:val="00595FE6"/>
    <w:rsid w:val="00597359"/>
    <w:rsid w:val="005A036B"/>
    <w:rsid w:val="005B0596"/>
    <w:rsid w:val="005B1ACC"/>
    <w:rsid w:val="005B2CA6"/>
    <w:rsid w:val="005B2D35"/>
    <w:rsid w:val="005B5911"/>
    <w:rsid w:val="005C36AE"/>
    <w:rsid w:val="005D08B9"/>
    <w:rsid w:val="005D2792"/>
    <w:rsid w:val="005D29A3"/>
    <w:rsid w:val="005D6319"/>
    <w:rsid w:val="005D6D96"/>
    <w:rsid w:val="005E03F8"/>
    <w:rsid w:val="005E0CDD"/>
    <w:rsid w:val="005E54C1"/>
    <w:rsid w:val="005E61B9"/>
    <w:rsid w:val="005F1702"/>
    <w:rsid w:val="005F2195"/>
    <w:rsid w:val="005F4295"/>
    <w:rsid w:val="005F6E05"/>
    <w:rsid w:val="006009A3"/>
    <w:rsid w:val="00600B10"/>
    <w:rsid w:val="00602A78"/>
    <w:rsid w:val="00607852"/>
    <w:rsid w:val="00610653"/>
    <w:rsid w:val="006108BF"/>
    <w:rsid w:val="00617C1A"/>
    <w:rsid w:val="00625BA6"/>
    <w:rsid w:val="006316D3"/>
    <w:rsid w:val="006323AC"/>
    <w:rsid w:val="00637A82"/>
    <w:rsid w:val="006400D1"/>
    <w:rsid w:val="00641F4F"/>
    <w:rsid w:val="006425FF"/>
    <w:rsid w:val="006464F0"/>
    <w:rsid w:val="0064737C"/>
    <w:rsid w:val="006478DC"/>
    <w:rsid w:val="006479DB"/>
    <w:rsid w:val="00655010"/>
    <w:rsid w:val="0065552E"/>
    <w:rsid w:val="0066302B"/>
    <w:rsid w:val="00671BA2"/>
    <w:rsid w:val="00672BCB"/>
    <w:rsid w:val="00675485"/>
    <w:rsid w:val="00675507"/>
    <w:rsid w:val="00681B2C"/>
    <w:rsid w:val="00696413"/>
    <w:rsid w:val="006966AC"/>
    <w:rsid w:val="00697A81"/>
    <w:rsid w:val="006A0ECF"/>
    <w:rsid w:val="006A1A33"/>
    <w:rsid w:val="006A756B"/>
    <w:rsid w:val="006B0F34"/>
    <w:rsid w:val="006B13B8"/>
    <w:rsid w:val="006B22F6"/>
    <w:rsid w:val="006B43BC"/>
    <w:rsid w:val="006B480F"/>
    <w:rsid w:val="006B53D4"/>
    <w:rsid w:val="006B5EB9"/>
    <w:rsid w:val="006B6AD0"/>
    <w:rsid w:val="006C118C"/>
    <w:rsid w:val="006C1624"/>
    <w:rsid w:val="006C3FEC"/>
    <w:rsid w:val="006D0E82"/>
    <w:rsid w:val="006E0B28"/>
    <w:rsid w:val="006E10CC"/>
    <w:rsid w:val="006E3B86"/>
    <w:rsid w:val="006E5D5C"/>
    <w:rsid w:val="006F1491"/>
    <w:rsid w:val="006F1965"/>
    <w:rsid w:val="006F5EC0"/>
    <w:rsid w:val="006F6DCE"/>
    <w:rsid w:val="006F6EBE"/>
    <w:rsid w:val="0070116F"/>
    <w:rsid w:val="0070182D"/>
    <w:rsid w:val="00701B7E"/>
    <w:rsid w:val="00702E8C"/>
    <w:rsid w:val="007039F0"/>
    <w:rsid w:val="007055EA"/>
    <w:rsid w:val="00706C7A"/>
    <w:rsid w:val="00710DEE"/>
    <w:rsid w:val="007110DB"/>
    <w:rsid w:val="007141FB"/>
    <w:rsid w:val="007161CB"/>
    <w:rsid w:val="007229AB"/>
    <w:rsid w:val="0072602C"/>
    <w:rsid w:val="00726B5F"/>
    <w:rsid w:val="00733C05"/>
    <w:rsid w:val="007365E7"/>
    <w:rsid w:val="0074328D"/>
    <w:rsid w:val="007450A7"/>
    <w:rsid w:val="007464E5"/>
    <w:rsid w:val="007470B5"/>
    <w:rsid w:val="007474D2"/>
    <w:rsid w:val="007477A9"/>
    <w:rsid w:val="0076658C"/>
    <w:rsid w:val="00766BCB"/>
    <w:rsid w:val="00771DF8"/>
    <w:rsid w:val="00776092"/>
    <w:rsid w:val="00776292"/>
    <w:rsid w:val="00781FB3"/>
    <w:rsid w:val="00782C85"/>
    <w:rsid w:val="007837DB"/>
    <w:rsid w:val="00784E6F"/>
    <w:rsid w:val="00786F11"/>
    <w:rsid w:val="00787FE0"/>
    <w:rsid w:val="007915F1"/>
    <w:rsid w:val="00791F74"/>
    <w:rsid w:val="0079585B"/>
    <w:rsid w:val="00796660"/>
    <w:rsid w:val="007A39A3"/>
    <w:rsid w:val="007A4048"/>
    <w:rsid w:val="007A6DFC"/>
    <w:rsid w:val="007B0089"/>
    <w:rsid w:val="007C0998"/>
    <w:rsid w:val="007C16A3"/>
    <w:rsid w:val="007C4CA9"/>
    <w:rsid w:val="007C67EB"/>
    <w:rsid w:val="007D574E"/>
    <w:rsid w:val="007D67D4"/>
    <w:rsid w:val="007D6EE2"/>
    <w:rsid w:val="007D7DCD"/>
    <w:rsid w:val="007E25D5"/>
    <w:rsid w:val="007E30E0"/>
    <w:rsid w:val="007E3304"/>
    <w:rsid w:val="007F1D06"/>
    <w:rsid w:val="007F4720"/>
    <w:rsid w:val="00802475"/>
    <w:rsid w:val="008049D0"/>
    <w:rsid w:val="00806742"/>
    <w:rsid w:val="008071BD"/>
    <w:rsid w:val="00810C45"/>
    <w:rsid w:val="00812566"/>
    <w:rsid w:val="0081385C"/>
    <w:rsid w:val="0082394F"/>
    <w:rsid w:val="00824861"/>
    <w:rsid w:val="008269C7"/>
    <w:rsid w:val="00830A9E"/>
    <w:rsid w:val="00833963"/>
    <w:rsid w:val="00835666"/>
    <w:rsid w:val="0083624E"/>
    <w:rsid w:val="008362B7"/>
    <w:rsid w:val="00836B10"/>
    <w:rsid w:val="00841B26"/>
    <w:rsid w:val="00841FBC"/>
    <w:rsid w:val="0084739A"/>
    <w:rsid w:val="0085030B"/>
    <w:rsid w:val="00851252"/>
    <w:rsid w:val="00851952"/>
    <w:rsid w:val="00856F05"/>
    <w:rsid w:val="008616C7"/>
    <w:rsid w:val="00861FDB"/>
    <w:rsid w:val="008704D4"/>
    <w:rsid w:val="0087080B"/>
    <w:rsid w:val="00873CC2"/>
    <w:rsid w:val="00874441"/>
    <w:rsid w:val="00874CCE"/>
    <w:rsid w:val="008769BA"/>
    <w:rsid w:val="00881226"/>
    <w:rsid w:val="00882FAA"/>
    <w:rsid w:val="00885A32"/>
    <w:rsid w:val="00887BC8"/>
    <w:rsid w:val="00887ED6"/>
    <w:rsid w:val="00893A54"/>
    <w:rsid w:val="008953AE"/>
    <w:rsid w:val="008963CB"/>
    <w:rsid w:val="008A2198"/>
    <w:rsid w:val="008A3328"/>
    <w:rsid w:val="008A593D"/>
    <w:rsid w:val="008A5C89"/>
    <w:rsid w:val="008B1E43"/>
    <w:rsid w:val="008B60F0"/>
    <w:rsid w:val="008B6949"/>
    <w:rsid w:val="008B6B4E"/>
    <w:rsid w:val="008B7453"/>
    <w:rsid w:val="008C0009"/>
    <w:rsid w:val="008C1339"/>
    <w:rsid w:val="008C2255"/>
    <w:rsid w:val="008C2EF7"/>
    <w:rsid w:val="008D7F95"/>
    <w:rsid w:val="008E2BB8"/>
    <w:rsid w:val="008E7779"/>
    <w:rsid w:val="008F1508"/>
    <w:rsid w:val="008F1D19"/>
    <w:rsid w:val="008F2B59"/>
    <w:rsid w:val="008F4693"/>
    <w:rsid w:val="008F56D8"/>
    <w:rsid w:val="008F6D27"/>
    <w:rsid w:val="009054F3"/>
    <w:rsid w:val="00905FBF"/>
    <w:rsid w:val="009062E4"/>
    <w:rsid w:val="00906A3A"/>
    <w:rsid w:val="00911F69"/>
    <w:rsid w:val="00920F39"/>
    <w:rsid w:val="00922C68"/>
    <w:rsid w:val="00940181"/>
    <w:rsid w:val="00942896"/>
    <w:rsid w:val="00943819"/>
    <w:rsid w:val="00953A87"/>
    <w:rsid w:val="009612F0"/>
    <w:rsid w:val="009636D4"/>
    <w:rsid w:val="0096663E"/>
    <w:rsid w:val="00966A9E"/>
    <w:rsid w:val="00970B1F"/>
    <w:rsid w:val="009772FC"/>
    <w:rsid w:val="00980DC8"/>
    <w:rsid w:val="009820DE"/>
    <w:rsid w:val="009926D4"/>
    <w:rsid w:val="0099410F"/>
    <w:rsid w:val="00994AEB"/>
    <w:rsid w:val="00996619"/>
    <w:rsid w:val="00996B38"/>
    <w:rsid w:val="009A06B8"/>
    <w:rsid w:val="009B3282"/>
    <w:rsid w:val="009B714D"/>
    <w:rsid w:val="009B746E"/>
    <w:rsid w:val="009C5C0A"/>
    <w:rsid w:val="009D10EF"/>
    <w:rsid w:val="009D3F88"/>
    <w:rsid w:val="009D418E"/>
    <w:rsid w:val="009D64FA"/>
    <w:rsid w:val="009D72F8"/>
    <w:rsid w:val="009E23BF"/>
    <w:rsid w:val="009E77AF"/>
    <w:rsid w:val="009E7FE0"/>
    <w:rsid w:val="009F0BB1"/>
    <w:rsid w:val="009F3CC0"/>
    <w:rsid w:val="009F6E1F"/>
    <w:rsid w:val="009F6F14"/>
    <w:rsid w:val="00A00062"/>
    <w:rsid w:val="00A0133D"/>
    <w:rsid w:val="00A043A3"/>
    <w:rsid w:val="00A05139"/>
    <w:rsid w:val="00A201EE"/>
    <w:rsid w:val="00A211D5"/>
    <w:rsid w:val="00A220AF"/>
    <w:rsid w:val="00A264B2"/>
    <w:rsid w:val="00A3210F"/>
    <w:rsid w:val="00A363B5"/>
    <w:rsid w:val="00A406BC"/>
    <w:rsid w:val="00A40F21"/>
    <w:rsid w:val="00A410E0"/>
    <w:rsid w:val="00A4136C"/>
    <w:rsid w:val="00A43392"/>
    <w:rsid w:val="00A44FD3"/>
    <w:rsid w:val="00A51BDB"/>
    <w:rsid w:val="00A52716"/>
    <w:rsid w:val="00A5321A"/>
    <w:rsid w:val="00A53929"/>
    <w:rsid w:val="00A54577"/>
    <w:rsid w:val="00A54837"/>
    <w:rsid w:val="00A5554E"/>
    <w:rsid w:val="00A572E8"/>
    <w:rsid w:val="00A6036D"/>
    <w:rsid w:val="00A60C39"/>
    <w:rsid w:val="00A6129B"/>
    <w:rsid w:val="00A614A3"/>
    <w:rsid w:val="00A64142"/>
    <w:rsid w:val="00A64DE9"/>
    <w:rsid w:val="00A7009B"/>
    <w:rsid w:val="00A70A9B"/>
    <w:rsid w:val="00A71901"/>
    <w:rsid w:val="00A72ED1"/>
    <w:rsid w:val="00A75973"/>
    <w:rsid w:val="00A819DA"/>
    <w:rsid w:val="00A848C1"/>
    <w:rsid w:val="00A872DA"/>
    <w:rsid w:val="00A91504"/>
    <w:rsid w:val="00A9165C"/>
    <w:rsid w:val="00A920E0"/>
    <w:rsid w:val="00A92FE9"/>
    <w:rsid w:val="00A94844"/>
    <w:rsid w:val="00A94889"/>
    <w:rsid w:val="00AA1EE4"/>
    <w:rsid w:val="00AA4E67"/>
    <w:rsid w:val="00AA5BBB"/>
    <w:rsid w:val="00AC5D14"/>
    <w:rsid w:val="00AC758B"/>
    <w:rsid w:val="00AC75B4"/>
    <w:rsid w:val="00AD0E49"/>
    <w:rsid w:val="00AD3FD0"/>
    <w:rsid w:val="00AE13D8"/>
    <w:rsid w:val="00AE16B4"/>
    <w:rsid w:val="00AE431B"/>
    <w:rsid w:val="00AE79E0"/>
    <w:rsid w:val="00AF00C0"/>
    <w:rsid w:val="00AF4100"/>
    <w:rsid w:val="00B0278A"/>
    <w:rsid w:val="00B02FAE"/>
    <w:rsid w:val="00B03A01"/>
    <w:rsid w:val="00B131AC"/>
    <w:rsid w:val="00B2121E"/>
    <w:rsid w:val="00B23CDE"/>
    <w:rsid w:val="00B2450E"/>
    <w:rsid w:val="00B2572E"/>
    <w:rsid w:val="00B26D86"/>
    <w:rsid w:val="00B303B0"/>
    <w:rsid w:val="00B308EB"/>
    <w:rsid w:val="00B30983"/>
    <w:rsid w:val="00B32F0C"/>
    <w:rsid w:val="00B34AD2"/>
    <w:rsid w:val="00B44834"/>
    <w:rsid w:val="00B457FF"/>
    <w:rsid w:val="00B46E2A"/>
    <w:rsid w:val="00B47EC7"/>
    <w:rsid w:val="00B566E1"/>
    <w:rsid w:val="00B56C00"/>
    <w:rsid w:val="00B62293"/>
    <w:rsid w:val="00B650AA"/>
    <w:rsid w:val="00B6660F"/>
    <w:rsid w:val="00B67C02"/>
    <w:rsid w:val="00B67D4A"/>
    <w:rsid w:val="00B836CA"/>
    <w:rsid w:val="00B864F2"/>
    <w:rsid w:val="00B902E1"/>
    <w:rsid w:val="00B90F6A"/>
    <w:rsid w:val="00B93593"/>
    <w:rsid w:val="00B9591A"/>
    <w:rsid w:val="00B9720C"/>
    <w:rsid w:val="00BA00BE"/>
    <w:rsid w:val="00BA017E"/>
    <w:rsid w:val="00BA1602"/>
    <w:rsid w:val="00BA35AB"/>
    <w:rsid w:val="00BA6763"/>
    <w:rsid w:val="00BB01F1"/>
    <w:rsid w:val="00BB4A76"/>
    <w:rsid w:val="00BB4AC2"/>
    <w:rsid w:val="00BC0551"/>
    <w:rsid w:val="00BC5ADF"/>
    <w:rsid w:val="00BD4B72"/>
    <w:rsid w:val="00BD4EE1"/>
    <w:rsid w:val="00BD77BC"/>
    <w:rsid w:val="00BE670F"/>
    <w:rsid w:val="00BF2775"/>
    <w:rsid w:val="00BF329A"/>
    <w:rsid w:val="00BF3C03"/>
    <w:rsid w:val="00BF5570"/>
    <w:rsid w:val="00BF56D6"/>
    <w:rsid w:val="00BF7B1E"/>
    <w:rsid w:val="00C00410"/>
    <w:rsid w:val="00C00A47"/>
    <w:rsid w:val="00C04D47"/>
    <w:rsid w:val="00C0540F"/>
    <w:rsid w:val="00C163D6"/>
    <w:rsid w:val="00C21306"/>
    <w:rsid w:val="00C23BBF"/>
    <w:rsid w:val="00C34770"/>
    <w:rsid w:val="00C36E6B"/>
    <w:rsid w:val="00C37A5D"/>
    <w:rsid w:val="00C441B3"/>
    <w:rsid w:val="00C45FF9"/>
    <w:rsid w:val="00C46BD3"/>
    <w:rsid w:val="00C5481B"/>
    <w:rsid w:val="00C63464"/>
    <w:rsid w:val="00C63C63"/>
    <w:rsid w:val="00C63C8F"/>
    <w:rsid w:val="00C649B1"/>
    <w:rsid w:val="00C7175D"/>
    <w:rsid w:val="00C71D1D"/>
    <w:rsid w:val="00C7370A"/>
    <w:rsid w:val="00C816B1"/>
    <w:rsid w:val="00C8432D"/>
    <w:rsid w:val="00C86BC4"/>
    <w:rsid w:val="00C906C7"/>
    <w:rsid w:val="00C90B47"/>
    <w:rsid w:val="00C921D6"/>
    <w:rsid w:val="00C94264"/>
    <w:rsid w:val="00C94D59"/>
    <w:rsid w:val="00C97B7E"/>
    <w:rsid w:val="00CA1525"/>
    <w:rsid w:val="00CA5A80"/>
    <w:rsid w:val="00CB22CA"/>
    <w:rsid w:val="00CB26DC"/>
    <w:rsid w:val="00CB2C1F"/>
    <w:rsid w:val="00CB3DCA"/>
    <w:rsid w:val="00CB719E"/>
    <w:rsid w:val="00CC08CE"/>
    <w:rsid w:val="00CC10B8"/>
    <w:rsid w:val="00CC30E1"/>
    <w:rsid w:val="00CD2598"/>
    <w:rsid w:val="00CD31EF"/>
    <w:rsid w:val="00CD4495"/>
    <w:rsid w:val="00CD4B86"/>
    <w:rsid w:val="00CE0621"/>
    <w:rsid w:val="00CE0A95"/>
    <w:rsid w:val="00CE0BBA"/>
    <w:rsid w:val="00CE1327"/>
    <w:rsid w:val="00CE6316"/>
    <w:rsid w:val="00CF229A"/>
    <w:rsid w:val="00CF3061"/>
    <w:rsid w:val="00CF53E0"/>
    <w:rsid w:val="00CF619C"/>
    <w:rsid w:val="00D069A8"/>
    <w:rsid w:val="00D10EEB"/>
    <w:rsid w:val="00D1623C"/>
    <w:rsid w:val="00D169BF"/>
    <w:rsid w:val="00D17893"/>
    <w:rsid w:val="00D20412"/>
    <w:rsid w:val="00D20870"/>
    <w:rsid w:val="00D20DB4"/>
    <w:rsid w:val="00D26DCA"/>
    <w:rsid w:val="00D30598"/>
    <w:rsid w:val="00D35641"/>
    <w:rsid w:val="00D35B98"/>
    <w:rsid w:val="00D35C24"/>
    <w:rsid w:val="00D41443"/>
    <w:rsid w:val="00D436B4"/>
    <w:rsid w:val="00D47644"/>
    <w:rsid w:val="00D54E09"/>
    <w:rsid w:val="00D615F6"/>
    <w:rsid w:val="00D66E24"/>
    <w:rsid w:val="00D72DE6"/>
    <w:rsid w:val="00D75F25"/>
    <w:rsid w:val="00D771EF"/>
    <w:rsid w:val="00D829FE"/>
    <w:rsid w:val="00D85A85"/>
    <w:rsid w:val="00D873FA"/>
    <w:rsid w:val="00D929F4"/>
    <w:rsid w:val="00D9781B"/>
    <w:rsid w:val="00DA37BA"/>
    <w:rsid w:val="00DB06FF"/>
    <w:rsid w:val="00DB6999"/>
    <w:rsid w:val="00DB7031"/>
    <w:rsid w:val="00DC123B"/>
    <w:rsid w:val="00DC662A"/>
    <w:rsid w:val="00DC79FC"/>
    <w:rsid w:val="00DD00B9"/>
    <w:rsid w:val="00DD419F"/>
    <w:rsid w:val="00DD4293"/>
    <w:rsid w:val="00DD4A59"/>
    <w:rsid w:val="00DD565F"/>
    <w:rsid w:val="00DD58F3"/>
    <w:rsid w:val="00DE02B6"/>
    <w:rsid w:val="00DE0EF8"/>
    <w:rsid w:val="00DE3DB1"/>
    <w:rsid w:val="00DE3EA5"/>
    <w:rsid w:val="00DE4C46"/>
    <w:rsid w:val="00DE7013"/>
    <w:rsid w:val="00DF4053"/>
    <w:rsid w:val="00DF4229"/>
    <w:rsid w:val="00E00FE1"/>
    <w:rsid w:val="00E01151"/>
    <w:rsid w:val="00E041DA"/>
    <w:rsid w:val="00E04D41"/>
    <w:rsid w:val="00E061E9"/>
    <w:rsid w:val="00E132E2"/>
    <w:rsid w:val="00E13F76"/>
    <w:rsid w:val="00E14830"/>
    <w:rsid w:val="00E158B2"/>
    <w:rsid w:val="00E16B32"/>
    <w:rsid w:val="00E214B3"/>
    <w:rsid w:val="00E21C66"/>
    <w:rsid w:val="00E21EE8"/>
    <w:rsid w:val="00E25319"/>
    <w:rsid w:val="00E259AE"/>
    <w:rsid w:val="00E26C14"/>
    <w:rsid w:val="00E33638"/>
    <w:rsid w:val="00E37580"/>
    <w:rsid w:val="00E431CB"/>
    <w:rsid w:val="00E4650A"/>
    <w:rsid w:val="00E514A6"/>
    <w:rsid w:val="00E54612"/>
    <w:rsid w:val="00E5632E"/>
    <w:rsid w:val="00E56C81"/>
    <w:rsid w:val="00E619FC"/>
    <w:rsid w:val="00E644B7"/>
    <w:rsid w:val="00E645E4"/>
    <w:rsid w:val="00E65A87"/>
    <w:rsid w:val="00E749A2"/>
    <w:rsid w:val="00E7605C"/>
    <w:rsid w:val="00E80D8F"/>
    <w:rsid w:val="00E816C8"/>
    <w:rsid w:val="00E83264"/>
    <w:rsid w:val="00E83D2B"/>
    <w:rsid w:val="00E84150"/>
    <w:rsid w:val="00E859F8"/>
    <w:rsid w:val="00E8751E"/>
    <w:rsid w:val="00E90EF8"/>
    <w:rsid w:val="00E926FF"/>
    <w:rsid w:val="00E95C55"/>
    <w:rsid w:val="00E97727"/>
    <w:rsid w:val="00EA5AA2"/>
    <w:rsid w:val="00EB2D3A"/>
    <w:rsid w:val="00EB2F48"/>
    <w:rsid w:val="00EB3EA7"/>
    <w:rsid w:val="00EB6120"/>
    <w:rsid w:val="00EB7DB1"/>
    <w:rsid w:val="00EC1A91"/>
    <w:rsid w:val="00EC2701"/>
    <w:rsid w:val="00EC4ABA"/>
    <w:rsid w:val="00EC559E"/>
    <w:rsid w:val="00ED2808"/>
    <w:rsid w:val="00ED2A81"/>
    <w:rsid w:val="00ED2EF3"/>
    <w:rsid w:val="00ED346F"/>
    <w:rsid w:val="00ED4D61"/>
    <w:rsid w:val="00ED502C"/>
    <w:rsid w:val="00ED59F2"/>
    <w:rsid w:val="00ED6F0A"/>
    <w:rsid w:val="00EE0C8F"/>
    <w:rsid w:val="00EE1FC5"/>
    <w:rsid w:val="00EF5602"/>
    <w:rsid w:val="00EF74E9"/>
    <w:rsid w:val="00EF7580"/>
    <w:rsid w:val="00F008BB"/>
    <w:rsid w:val="00F05A10"/>
    <w:rsid w:val="00F06FE8"/>
    <w:rsid w:val="00F07653"/>
    <w:rsid w:val="00F0771B"/>
    <w:rsid w:val="00F107DC"/>
    <w:rsid w:val="00F11F4C"/>
    <w:rsid w:val="00F12482"/>
    <w:rsid w:val="00F135F9"/>
    <w:rsid w:val="00F14417"/>
    <w:rsid w:val="00F17709"/>
    <w:rsid w:val="00F20800"/>
    <w:rsid w:val="00F238B3"/>
    <w:rsid w:val="00F27912"/>
    <w:rsid w:val="00F27C17"/>
    <w:rsid w:val="00F27DF0"/>
    <w:rsid w:val="00F30B0F"/>
    <w:rsid w:val="00F34458"/>
    <w:rsid w:val="00F35C19"/>
    <w:rsid w:val="00F44A9F"/>
    <w:rsid w:val="00F53BB8"/>
    <w:rsid w:val="00F55B57"/>
    <w:rsid w:val="00F6006F"/>
    <w:rsid w:val="00F63978"/>
    <w:rsid w:val="00F75A5F"/>
    <w:rsid w:val="00F75CCE"/>
    <w:rsid w:val="00F75FFC"/>
    <w:rsid w:val="00F761C4"/>
    <w:rsid w:val="00F77EDB"/>
    <w:rsid w:val="00F81F2A"/>
    <w:rsid w:val="00F906EE"/>
    <w:rsid w:val="00FA5B1F"/>
    <w:rsid w:val="00FA7901"/>
    <w:rsid w:val="00FB008B"/>
    <w:rsid w:val="00FB10F4"/>
    <w:rsid w:val="00FB43C7"/>
    <w:rsid w:val="00FB43CD"/>
    <w:rsid w:val="00FB57D7"/>
    <w:rsid w:val="00FB68BE"/>
    <w:rsid w:val="00FC1EC0"/>
    <w:rsid w:val="00FC4921"/>
    <w:rsid w:val="00FC57CE"/>
    <w:rsid w:val="00FC7F83"/>
    <w:rsid w:val="00FD121B"/>
    <w:rsid w:val="00FD60FA"/>
    <w:rsid w:val="00FE255A"/>
    <w:rsid w:val="00FE3425"/>
    <w:rsid w:val="00FE64B6"/>
    <w:rsid w:val="00FF10EC"/>
    <w:rsid w:val="00FF3189"/>
    <w:rsid w:val="00FF4BDF"/>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0F6F-93D8-486F-9688-33C1BD2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0E"/>
    <w:pPr>
      <w:ind w:left="720"/>
      <w:contextualSpacing/>
    </w:pPr>
  </w:style>
  <w:style w:type="table" w:styleId="TableGrid">
    <w:name w:val="Table Grid"/>
    <w:basedOn w:val="TableNormal"/>
    <w:uiPriority w:val="39"/>
    <w:rsid w:val="002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02E"/>
  </w:style>
  <w:style w:type="paragraph" w:styleId="Footer">
    <w:name w:val="footer"/>
    <w:basedOn w:val="Normal"/>
    <w:link w:val="FooterChar"/>
    <w:uiPriority w:val="99"/>
    <w:unhideWhenUsed/>
    <w:rsid w:val="0022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02E"/>
  </w:style>
  <w:style w:type="character" w:customStyle="1" w:styleId="description">
    <w:name w:val="description"/>
    <w:rsid w:val="008B1E43"/>
  </w:style>
  <w:style w:type="paragraph" w:customStyle="1" w:styleId="Default">
    <w:name w:val="Default"/>
    <w:rsid w:val="00B836C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6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E9"/>
    <w:rPr>
      <w:rFonts w:ascii="Segoe UI" w:hAnsi="Segoe UI" w:cs="Segoe UI"/>
      <w:sz w:val="18"/>
      <w:szCs w:val="18"/>
    </w:rPr>
  </w:style>
  <w:style w:type="character" w:styleId="Hyperlink">
    <w:name w:val="Hyperlink"/>
    <w:basedOn w:val="DefaultParagraphFont"/>
    <w:uiPriority w:val="99"/>
    <w:unhideWhenUsed/>
    <w:rsid w:val="006B6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8444">
      <w:bodyDiv w:val="1"/>
      <w:marLeft w:val="0"/>
      <w:marRight w:val="0"/>
      <w:marTop w:val="0"/>
      <w:marBottom w:val="0"/>
      <w:divBdr>
        <w:top w:val="none" w:sz="0" w:space="0" w:color="auto"/>
        <w:left w:val="none" w:sz="0" w:space="0" w:color="auto"/>
        <w:bottom w:val="none" w:sz="0" w:space="0" w:color="auto"/>
        <w:right w:val="none" w:sz="0" w:space="0" w:color="auto"/>
      </w:divBdr>
    </w:div>
    <w:div w:id="775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4A22-C0A7-4745-BF9E-61426E52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pati-svc</cp:lastModifiedBy>
  <cp:revision>2</cp:revision>
  <cp:lastPrinted>2020-02-17T12:35:00Z</cp:lastPrinted>
  <dcterms:created xsi:type="dcterms:W3CDTF">2020-09-23T08:44:00Z</dcterms:created>
  <dcterms:modified xsi:type="dcterms:W3CDTF">2020-09-23T08:44:00Z</dcterms:modified>
</cp:coreProperties>
</file>